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8197" w14:textId="0C61ECF2" w:rsidR="00FF1B18" w:rsidRDefault="00AE246A">
      <w:pPr>
        <w:tabs>
          <w:tab w:val="center" w:pos="2025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10847"/>
        </w:tabs>
        <w:spacing w:after="213"/>
      </w:pPr>
      <w:r>
        <w:tab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w:drawing>
          <wp:inline distT="0" distB="0" distL="0" distR="0" wp14:anchorId="6732F9CA" wp14:editId="29A5B784">
            <wp:extent cx="1858010" cy="621640"/>
            <wp:effectExtent l="0" t="0" r="0" b="0"/>
            <wp:docPr id="534" name="Picture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6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3E4D20EC" w14:textId="77777777" w:rsidR="00FF1B18" w:rsidRDefault="00AE24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left="158" w:right="4" w:hanging="10"/>
        <w:jc w:val="center"/>
      </w:pPr>
      <w:r>
        <w:rPr>
          <w:rFonts w:ascii="Arial" w:eastAsia="Arial" w:hAnsi="Arial" w:cs="Arial"/>
          <w:b/>
          <w:sz w:val="20"/>
        </w:rPr>
        <w:t xml:space="preserve">Contract is valid for tickets issued Jun 17, 2019 through December 31, 2019 </w:t>
      </w:r>
    </w:p>
    <w:p w14:paraId="2FF4D7E0" w14:textId="77777777" w:rsidR="00FF1B18" w:rsidRDefault="00AE24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/>
        <w:ind w:left="158" w:right="4" w:hanging="10"/>
        <w:jc w:val="center"/>
      </w:pPr>
      <w:r>
        <w:rPr>
          <w:rFonts w:ascii="Arial" w:eastAsia="Arial" w:hAnsi="Arial" w:cs="Arial"/>
          <w:b/>
          <w:sz w:val="20"/>
        </w:rPr>
        <w:t xml:space="preserve">VALID FROM MIAMI (MIA) TO PARIS (PAR) with connecting TGV Rail Service </w:t>
      </w:r>
    </w:p>
    <w:p w14:paraId="5F0A738E" w14:textId="77777777" w:rsidR="00FF1B18" w:rsidRDefault="00AE246A">
      <w:pPr>
        <w:spacing w:after="219"/>
        <w:ind w:left="146"/>
        <w:jc w:val="center"/>
      </w:pPr>
      <w:r>
        <w:rPr>
          <w:rFonts w:ascii="Arial" w:eastAsia="Arial" w:hAnsi="Arial" w:cs="Arial"/>
          <w:b/>
          <w:sz w:val="24"/>
          <w:shd w:val="clear" w:color="auto" w:fill="FFFF00"/>
        </w:rPr>
        <w:t>TOUR CODE = IT9SS201TRADEUS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2EFFFDDB" w14:textId="77777777" w:rsidR="00FF1B18" w:rsidRDefault="00AE246A">
      <w:pPr>
        <w:spacing w:after="5" w:line="250" w:lineRule="auto"/>
        <w:ind w:left="-5" w:right="5623" w:hanging="10"/>
      </w:pPr>
      <w:r>
        <w:rPr>
          <w:rFonts w:ascii="Arial" w:eastAsia="Arial" w:hAnsi="Arial" w:cs="Arial"/>
          <w:b/>
          <w:sz w:val="24"/>
        </w:rPr>
        <w:t xml:space="preserve">This is a new NET fare agreement that can be marked up but markup is not mandatory Fares have already been loaded into your GDS. </w:t>
      </w:r>
    </w:p>
    <w:p w14:paraId="2DBA8A49" w14:textId="77777777" w:rsidR="00FF1B18" w:rsidRDefault="00AE246A">
      <w:pPr>
        <w:pStyle w:val="Heading1"/>
        <w:ind w:left="-5" w:right="0"/>
      </w:pPr>
      <w:r>
        <w:t>If you choose not to use the NET fares, you will need to override the NET fare and charge the PUBLISHED FARE and claim 3% comm</w:t>
      </w:r>
      <w:r>
        <w:t xml:space="preserve">ission until 12/31/19 </w:t>
      </w:r>
    </w:p>
    <w:p w14:paraId="6857D02F" w14:textId="77777777" w:rsidR="00FF1B18" w:rsidRDefault="00AE246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600" w:type="dxa"/>
        <w:tblInd w:w="-91" w:type="dxa"/>
        <w:tblCellMar>
          <w:top w:w="46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046"/>
        <w:gridCol w:w="1199"/>
        <w:gridCol w:w="1424"/>
        <w:gridCol w:w="1415"/>
        <w:gridCol w:w="2599"/>
        <w:gridCol w:w="1188"/>
        <w:gridCol w:w="1139"/>
        <w:gridCol w:w="594"/>
        <w:gridCol w:w="657"/>
        <w:gridCol w:w="657"/>
        <w:gridCol w:w="1100"/>
        <w:gridCol w:w="1582"/>
      </w:tblGrid>
      <w:tr w:rsidR="00FF1B18" w14:paraId="4D26B394" w14:textId="77777777">
        <w:trPr>
          <w:trHeight w:val="69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87B9" w14:textId="77777777" w:rsidR="00FF1B18" w:rsidRDefault="00AE246A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Cabin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638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Booking </w:t>
            </w:r>
          </w:p>
          <w:p w14:paraId="584AED28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 &amp; </w:t>
            </w:r>
          </w:p>
          <w:p w14:paraId="4D78F710" w14:textId="77777777" w:rsidR="00FF1B18" w:rsidRDefault="00AE246A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Fare Basis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115B" w14:textId="77777777" w:rsidR="00FF1B18" w:rsidRDefault="00AE246A">
            <w:pPr>
              <w:spacing w:after="0"/>
              <w:ind w:left="95" w:right="1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% Disc  on published fares OW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A328" w14:textId="77777777" w:rsidR="00FF1B18" w:rsidRDefault="00AE246A">
            <w:pPr>
              <w:spacing w:after="0"/>
              <w:ind w:left="68" w:right="118" w:firstLine="2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% Disc  on published fares RT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F9DE" w14:textId="77777777" w:rsidR="00FF1B18" w:rsidRDefault="00AE246A">
            <w:pPr>
              <w:spacing w:after="0"/>
              <w:ind w:left="522" w:right="5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Advance Res/Tktg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864D" w14:textId="77777777" w:rsidR="00FF1B18" w:rsidRDefault="00AE246A">
            <w:pPr>
              <w:spacing w:after="0"/>
              <w:ind w:left="180" w:righ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Min Stay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0AD9" w14:textId="77777777" w:rsidR="00FF1B18" w:rsidRDefault="00AE246A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Q surcharge </w:t>
            </w:r>
          </w:p>
          <w:p w14:paraId="2543D643" w14:textId="77777777" w:rsidR="00FF1B18" w:rsidRDefault="00AE246A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Weekend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15B" w14:textId="77777777" w:rsidR="00FF1B18" w:rsidRDefault="00AE246A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Max </w:t>
            </w:r>
          </w:p>
          <w:p w14:paraId="595DF1CE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Stay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4C3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Disc CH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E44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Disc IN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F73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Ticketing Rules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019E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Fare Rules </w:t>
            </w:r>
          </w:p>
          <w:p w14:paraId="5210FD0A" w14:textId="77777777" w:rsidR="00FF1B18" w:rsidRDefault="00AE246A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(changes/ </w:t>
            </w:r>
          </w:p>
          <w:p w14:paraId="70C83F06" w14:textId="77777777" w:rsidR="00FF1B18" w:rsidRDefault="00AE246A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Cancellations) </w:t>
            </w:r>
          </w:p>
        </w:tc>
      </w:tr>
      <w:tr w:rsidR="00FF1B18" w14:paraId="152EFD21" w14:textId="77777777">
        <w:trPr>
          <w:trHeight w:val="46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0BE8" w14:textId="77777777" w:rsidR="00FF1B18" w:rsidRDefault="00AE246A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Business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A6A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JFFWUS / JFFUS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8F82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5554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4EF5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E5DF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5FD3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E3E3" w14:textId="77777777" w:rsidR="00FF1B18" w:rsidRDefault="00AE246A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4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B2F" w14:textId="77777777" w:rsidR="00FF1B18" w:rsidRDefault="00AE246A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85BD3E" w14:textId="77777777" w:rsidR="00FF1B18" w:rsidRDefault="00AE246A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CB9E531" w14:textId="77777777" w:rsidR="00FF1B18" w:rsidRDefault="00AE246A">
            <w:pPr>
              <w:spacing w:after="0" w:line="241" w:lineRule="auto"/>
              <w:ind w:left="1"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Identical conditions to the terms of published fares of reference </w:t>
            </w:r>
          </w:p>
          <w:p w14:paraId="229A5155" w14:textId="77777777" w:rsidR="00FF1B18" w:rsidRDefault="00AE246A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710CE0C3" w14:textId="77777777">
        <w:trPr>
          <w:trHeight w:val="47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86E5" w14:textId="77777777" w:rsidR="00FF1B18" w:rsidRDefault="00AE246A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Business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E9F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CFFWUS / CFFUS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7C5B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5772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8695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7A0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D245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5CF0" w14:textId="77777777" w:rsidR="00FF1B18" w:rsidRDefault="00AE246A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21BB0" w14:textId="77777777" w:rsidR="00FF1B18" w:rsidRDefault="00FF1B18"/>
        </w:tc>
      </w:tr>
      <w:tr w:rsidR="00FF1B18" w14:paraId="72B955FD" w14:textId="77777777">
        <w:trPr>
          <w:trHeight w:val="69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9107" w14:textId="77777777" w:rsidR="00FF1B18" w:rsidRDefault="00AE246A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Business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7A82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DFFUS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335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4B1E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A933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C133" w14:textId="77777777" w:rsidR="00FF1B18" w:rsidRDefault="00AE246A">
            <w:pPr>
              <w:spacing w:after="0"/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SU or 3 days </w:t>
            </w:r>
          </w:p>
          <w:p w14:paraId="558499CB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</w:t>
            </w:r>
          </w:p>
          <w:p w14:paraId="5B0CD989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Sat. to Sun.)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3FFA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202D" w14:textId="77777777" w:rsidR="00FF1B18" w:rsidRDefault="00AE246A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84DB1" w14:textId="77777777" w:rsidR="00FF1B18" w:rsidRDefault="00FF1B18"/>
        </w:tc>
      </w:tr>
      <w:tr w:rsidR="00FF1B18" w14:paraId="3F822D2A" w14:textId="77777777">
        <w:trPr>
          <w:trHeight w:val="69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D12E" w14:textId="77777777" w:rsidR="00FF1B18" w:rsidRDefault="00AE246A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Business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BEBB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IFFUS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F0C9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3B97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F157" w14:textId="77777777" w:rsidR="00FF1B18" w:rsidRDefault="00AE246A">
            <w:pPr>
              <w:spacing w:after="0"/>
              <w:ind w:left="4"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5625" w14:textId="77777777" w:rsidR="00FF1B18" w:rsidRDefault="00AE246A">
            <w:pPr>
              <w:spacing w:after="0"/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SU or 3 days </w:t>
            </w:r>
          </w:p>
          <w:p w14:paraId="695AA47A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</w:t>
            </w:r>
          </w:p>
          <w:p w14:paraId="5564D0C2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Sat. to Sun.)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86A9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AF40" w14:textId="77777777" w:rsidR="00FF1B18" w:rsidRDefault="00AE246A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30A62" w14:textId="77777777" w:rsidR="00FF1B18" w:rsidRDefault="00FF1B18"/>
        </w:tc>
      </w:tr>
      <w:tr w:rsidR="00FF1B18" w14:paraId="22440546" w14:textId="77777777">
        <w:trPr>
          <w:trHeight w:val="69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7CC1" w14:textId="77777777" w:rsidR="00FF1B18" w:rsidRDefault="00AE246A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Business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9915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DSFUS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9179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414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53ED" w14:textId="77777777" w:rsidR="00FF1B18" w:rsidRDefault="00AE246A">
            <w:pPr>
              <w:spacing w:after="0"/>
              <w:ind w:left="4"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A1EF" w14:textId="77777777" w:rsidR="00FF1B18" w:rsidRDefault="00AE246A">
            <w:pPr>
              <w:spacing w:after="0"/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SU or 6 days </w:t>
            </w:r>
          </w:p>
          <w:p w14:paraId="232F2AF6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</w:t>
            </w:r>
          </w:p>
          <w:p w14:paraId="638FF0BD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Sat. to Sun.)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668B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/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9AD8" w14:textId="77777777" w:rsidR="00FF1B18" w:rsidRDefault="00AE246A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E1AB9" w14:textId="77777777" w:rsidR="00FF1B18" w:rsidRDefault="00FF1B18"/>
        </w:tc>
      </w:tr>
      <w:tr w:rsidR="00FF1B18" w14:paraId="27A2F23A" w14:textId="77777777">
        <w:trPr>
          <w:trHeight w:val="7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0EA5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Business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9CF8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ISFUS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A571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C79A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39D5" w14:textId="77777777" w:rsidR="00FF1B18" w:rsidRDefault="00AE246A">
            <w:pPr>
              <w:spacing w:after="0"/>
              <w:ind w:left="4"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86E1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 </w:t>
            </w:r>
          </w:p>
          <w:p w14:paraId="7A425228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</w:t>
            </w:r>
          </w:p>
          <w:p w14:paraId="5D56C25D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Sat. to Sun.)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511C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8B86" w14:textId="77777777" w:rsidR="00FF1B18" w:rsidRDefault="00AE246A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39D1" w14:textId="77777777" w:rsidR="00FF1B18" w:rsidRDefault="00FF1B18"/>
        </w:tc>
      </w:tr>
      <w:tr w:rsidR="00FF1B18" w14:paraId="40938F26" w14:textId="77777777">
        <w:trPr>
          <w:trHeight w:val="69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2BE" w14:textId="77777777" w:rsidR="00FF1B18" w:rsidRDefault="00AE246A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Business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FA1B4B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ISPUS </w:t>
            </w:r>
          </w:p>
          <w:p w14:paraId="4DF5BEAC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(public promo)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A0AFB0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80DFA9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3% </w:t>
            </w:r>
          </w:p>
        </w:tc>
        <w:tc>
          <w:tcPr>
            <w:tcW w:w="9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111F60" w14:textId="77777777" w:rsidR="00FF1B18" w:rsidRDefault="00AE246A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Charge 97% of the published promotional fare in effect </w:t>
            </w:r>
          </w:p>
          <w:p w14:paraId="74ED7C90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Identical conditions and ticketing to the terms of published promotional fare in effect </w:t>
            </w:r>
          </w:p>
          <w:p w14:paraId="55D0A695" w14:textId="77777777" w:rsidR="00FF1B18" w:rsidRDefault="00AE246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7E789A8" w14:textId="77777777" w:rsidR="00FF1B18" w:rsidRDefault="00AE246A">
      <w:pPr>
        <w:spacing w:after="0"/>
      </w:pPr>
      <w:r>
        <w:t xml:space="preserve"> </w:t>
      </w:r>
      <w:r>
        <w:tab/>
        <w:t xml:space="preserve"> </w:t>
      </w:r>
    </w:p>
    <w:p w14:paraId="0898DE9B" w14:textId="77777777" w:rsidR="00FF1B18" w:rsidRDefault="00FF1B18">
      <w:pPr>
        <w:spacing w:after="0"/>
        <w:ind w:left="-720" w:right="14975"/>
      </w:pPr>
    </w:p>
    <w:tbl>
      <w:tblPr>
        <w:tblStyle w:val="TableGrid"/>
        <w:tblW w:w="14600" w:type="dxa"/>
        <w:tblInd w:w="-91" w:type="dxa"/>
        <w:tblCellMar>
          <w:top w:w="4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077"/>
        <w:gridCol w:w="1780"/>
        <w:gridCol w:w="573"/>
        <w:gridCol w:w="572"/>
        <w:gridCol w:w="3413"/>
        <w:gridCol w:w="2170"/>
        <w:gridCol w:w="965"/>
        <w:gridCol w:w="561"/>
        <w:gridCol w:w="873"/>
        <w:gridCol w:w="873"/>
        <w:gridCol w:w="872"/>
        <w:gridCol w:w="871"/>
      </w:tblGrid>
      <w:tr w:rsidR="00FF1B18" w14:paraId="1E5361E7" w14:textId="77777777">
        <w:trPr>
          <w:trHeight w:val="46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9B6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Premium 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8A81" w14:textId="77777777" w:rsidR="00FF1B18" w:rsidRDefault="00AE246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WFFWUS / WFFUS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2B8B" w14:textId="77777777" w:rsidR="00FF1B18" w:rsidRDefault="00AE246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1B35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A46E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0A9E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3694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83D0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35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974E" w14:textId="77777777" w:rsidR="00FF1B18" w:rsidRDefault="00AE246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2975E2" w14:textId="77777777" w:rsidR="00FF1B18" w:rsidRDefault="00AE246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99C4454" w14:textId="77777777" w:rsidR="00FF1B18" w:rsidRDefault="00AE246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AF63392" w14:textId="77777777" w:rsidR="00FF1B18" w:rsidRDefault="00AE246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2250E7B" w14:textId="77777777" w:rsidR="00FF1B18" w:rsidRDefault="00AE246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2A93F22" w14:textId="77777777" w:rsidR="00FF1B18" w:rsidRDefault="00AE246A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Identical conditions to the terms of published fares of reference </w:t>
            </w:r>
          </w:p>
          <w:p w14:paraId="31E7A28A" w14:textId="77777777" w:rsidR="00FF1B18" w:rsidRDefault="00AE246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48C13634" w14:textId="77777777">
        <w:trPr>
          <w:trHeight w:val="47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964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Premium 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5CC9" w14:textId="77777777" w:rsidR="00FF1B18" w:rsidRDefault="00AE246A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E_FFWUS / E_FFUS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9C5" w14:textId="77777777" w:rsidR="00FF1B18" w:rsidRDefault="00AE246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B0BB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F1CB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B5F7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8791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A06A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0DB13" w14:textId="77777777" w:rsidR="00FF1B18" w:rsidRDefault="00FF1B18"/>
        </w:tc>
      </w:tr>
      <w:tr w:rsidR="00FF1B18" w14:paraId="6B3B10D1" w14:textId="77777777">
        <w:trPr>
          <w:trHeight w:val="46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3B9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Premium 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BDE5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V_FFUS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B515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DDFE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A5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3C03" w14:textId="77777777" w:rsidR="00FF1B18" w:rsidRDefault="00AE246A">
            <w:pPr>
              <w:spacing w:after="0"/>
              <w:ind w:left="115" w:right="16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3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DD6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300C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53D3C" w14:textId="77777777" w:rsidR="00FF1B18" w:rsidRDefault="00FF1B18"/>
        </w:tc>
      </w:tr>
      <w:tr w:rsidR="00FF1B18" w14:paraId="3118C98C" w14:textId="77777777">
        <w:trPr>
          <w:trHeight w:val="47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22F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Premium 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C63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V_SFUS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252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443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542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3823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 </w:t>
            </w:r>
          </w:p>
          <w:p w14:paraId="1BC65EE0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7C8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242C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C6E85" w14:textId="77777777" w:rsidR="00FF1B18" w:rsidRDefault="00FF1B18"/>
        </w:tc>
      </w:tr>
      <w:tr w:rsidR="00FF1B18" w14:paraId="2DA70F5C" w14:textId="77777777">
        <w:trPr>
          <w:trHeight w:val="46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C28C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Premium 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41A9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Z_SFUS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D134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8571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19D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28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31A1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 </w:t>
            </w:r>
          </w:p>
          <w:p w14:paraId="10F4CB01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8CDA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5678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1A2D" w14:textId="77777777" w:rsidR="00FF1B18" w:rsidRDefault="00FF1B18"/>
        </w:tc>
      </w:tr>
      <w:tr w:rsidR="00FF1B18" w14:paraId="35441DC7" w14:textId="77777777">
        <w:trPr>
          <w:trHeight w:val="46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FC2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Premium 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4B8704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Z_SPUS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878CAE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2CBC16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3% </w:t>
            </w:r>
          </w:p>
        </w:tc>
        <w:tc>
          <w:tcPr>
            <w:tcW w:w="10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387FC5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Charge 97% of the published promotional fare in effect </w:t>
            </w:r>
          </w:p>
          <w:p w14:paraId="178A7200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Identical conditions and ticketing to the terms of published promotional fare in effect </w:t>
            </w:r>
          </w:p>
        </w:tc>
      </w:tr>
      <w:tr w:rsidR="00FF1B18" w14:paraId="59B27660" w14:textId="77777777">
        <w:trPr>
          <w:trHeight w:val="241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27A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326B3B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485FCC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B8FD2C6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95E293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2209EE" w14:textId="77777777" w:rsidR="00FF1B18" w:rsidRDefault="00AE246A">
            <w:pPr>
              <w:spacing w:after="0"/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B1D9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YFFWUS / YFFUS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A920" w14:textId="77777777" w:rsidR="00FF1B18" w:rsidRDefault="00AE246A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B8E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42A3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4F11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0F93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06B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06CA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5F3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365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963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6FDDD0D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431CB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0852" w14:textId="77777777" w:rsidR="00FF1B18" w:rsidRDefault="00AE246A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B_FFWUS / B_FFUS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7E2" w14:textId="77777777" w:rsidR="00FF1B18" w:rsidRDefault="00AE246A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37A1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CC1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39B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83B0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E3BB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33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0A8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EAA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469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05CD3E2B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1B9FF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4912" w14:textId="77777777" w:rsidR="00FF1B18" w:rsidRDefault="00AE246A">
            <w:pPr>
              <w:spacing w:after="0"/>
              <w:ind w:left="7"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M_FFWUS / M_FFUS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24C9" w14:textId="77777777" w:rsidR="00FF1B18" w:rsidRDefault="00AE246A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0690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B074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52F2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CAAF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AF7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82D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FBB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BF1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D6FC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391BF292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6A913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133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U_QSRWUS / U_QSRUS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D74" w14:textId="77777777" w:rsidR="00FF1B18" w:rsidRDefault="00AE246A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A59D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626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A8AC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C984" w14:textId="77777777" w:rsidR="00FF1B18" w:rsidRDefault="00AE246A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  <w:p w14:paraId="7E31BE5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56USD OW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22CF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2E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53C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14C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838F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43AE248F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59AEB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E9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U_QSFWUS / U_QSFUS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1B14" w14:textId="77777777" w:rsidR="00FF1B18" w:rsidRDefault="00AE246A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9F69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47C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7DE8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045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A6B8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94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FFB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775B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A52A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39FCC880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55CC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06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U_QFFWUS / U_QFFUS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A93A" w14:textId="77777777" w:rsidR="00FF1B18" w:rsidRDefault="00AE246A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C654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717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5E7F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129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56USD OW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133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FE8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9A2A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E6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E389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2F16FFF5" w14:textId="77777777">
        <w:trPr>
          <w:trHeight w:val="468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A626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86DCDE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D3FB0E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35309BA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3A8DC8B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0218E46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5BDBBC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099FFF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4BFEA3" w14:textId="77777777" w:rsidR="00FF1B18" w:rsidRDefault="00AE246A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B747693" w14:textId="77777777" w:rsidR="00FF1B18" w:rsidRDefault="00AE246A">
            <w:pPr>
              <w:spacing w:after="0"/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CA8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K_QSRWUS / K_QSRUS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9721" w14:textId="77777777" w:rsidR="00FF1B18" w:rsidRDefault="00AE246A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BC42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FFC6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39EE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219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B982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DE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820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38F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F6DB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677E51A8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63006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1DB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K_QSFWUS / K_QSFUS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A10C" w14:textId="77777777" w:rsidR="00FF1B18" w:rsidRDefault="00AE246A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047B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A23A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3FBF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07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56USD OW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A30C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D79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28E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B1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E663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73274DAE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F973C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C6A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K_QFFWUS / K_QFFUS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6681" w14:textId="77777777" w:rsidR="00FF1B18" w:rsidRDefault="00AE246A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5667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8ADC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BA72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547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8520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E76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3EE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C74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0B2B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66D9646D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BFCFA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EAE6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387F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29CB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196E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4BC8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1A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219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C5BB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02B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976B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685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44D267D6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E8A08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25FB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D630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DEA2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B59B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E376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EBC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F6D3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EC1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C3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1C5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1676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7A8410A0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654B5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8708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H_QFFUS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3198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7F72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E91E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004A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DFF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D7D9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7B9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554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9E5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4A5F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744DF05A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EBC8B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E210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0D0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3D3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CD96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B55B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30E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289A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657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CDE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408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4453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745B42D4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AA27B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3734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9CBB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9FC7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7A38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A9E2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206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5545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A1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7DB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794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BDA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60D23E02" w14:textId="7777777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A9F0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3DD2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O_QFFUS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6ED8" w14:textId="77777777" w:rsidR="00FF1B18" w:rsidRDefault="00AE246A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07DF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C0B8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09FE" w14:textId="77777777" w:rsidR="00FF1B18" w:rsidRDefault="00AE246A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32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51E7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  <w:p w14:paraId="38E6C523" w14:textId="77777777" w:rsidR="00FF1B18" w:rsidRDefault="00AE246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825AEBA" w14:textId="77777777" w:rsidR="00FF1B18" w:rsidRDefault="00AE246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55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0DD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195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A18" w14:textId="77777777" w:rsidR="00FF1B18" w:rsidRDefault="00AE246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414136CD" w14:textId="77777777">
        <w:trPr>
          <w:trHeight w:val="468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C1C5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4939222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5A0E07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5D8D6B1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B12E54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4B00E5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A6E0365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8507FD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906DFE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D8977E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389E1B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91649C6" w14:textId="77777777" w:rsidR="00FF1B18" w:rsidRDefault="00AE246A">
            <w:pPr>
              <w:spacing w:after="0"/>
              <w:ind w:left="7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1436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L_QSRUS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28F2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90C6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30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7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5D06" w14:textId="77777777" w:rsidR="00FF1B18" w:rsidRDefault="00AE246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879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B8F3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6E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DCD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32C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836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21F39920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02046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1A6A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0716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A1C5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E70C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7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117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1F0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466D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8E0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E0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A45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450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108D7EF1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61EF8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C85E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L_QFFUS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816F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5D82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2A6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7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8E81" w14:textId="77777777" w:rsidR="00FF1B18" w:rsidRDefault="00AE246A">
            <w:pPr>
              <w:spacing w:after="0"/>
              <w:ind w:left="4"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F52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B8A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414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19F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ABA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570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0684FF9C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BA8B6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1AB2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Q_QSRUS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EA91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9697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F77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986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9C6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23D6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01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B4B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F2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B33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4B829B9B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EABFC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B1BF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Q_QSFUS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C601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D121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C4B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7A2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F3F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47FC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37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F6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D8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299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6F938641" w14:textId="7777777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873C8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9DC4" w14:textId="77777777" w:rsidR="00FF1B18" w:rsidRDefault="00AE246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Q_QFFUS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476F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685B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4EC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6C2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0D0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9EDC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252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259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B71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83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591B2603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261A1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1443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1FB6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6CFF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515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8D9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8D8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672A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34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56D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6A3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016B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49D85A00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E1E28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8892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310B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366E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061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319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3F2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9827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F9F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64DA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D2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18D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51656FF0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9BCD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CD3B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T_QFFUS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E65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9FD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2BD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A1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12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FD1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116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199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D3A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760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32FD9A7C" w14:textId="77777777">
        <w:trPr>
          <w:trHeight w:val="468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2706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D9ED0A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678CFF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598EFD9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36302D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E2E7BF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FE1431B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FD84FE7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87E3CBE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DED071C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369EF4" w14:textId="77777777" w:rsidR="00FF1B18" w:rsidRDefault="00AE246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7CD220" w14:textId="77777777" w:rsidR="00FF1B18" w:rsidRDefault="00AE246A">
            <w:pPr>
              <w:spacing w:after="0"/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Economy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0D82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X_QRDUS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260C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4A8A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21B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02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F41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972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9B4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32C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DE0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08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0B0FB6E4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C647B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AFEE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10DB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1C3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1EBB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6B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D5B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033A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A1A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99B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742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7C8B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5F58458F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80CDC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516E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607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35CE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02D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E3B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C55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7CB7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62F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08C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8CF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743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5AE72ED2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16839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346B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N_QRDUS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9AF3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150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5FA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56D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53AA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5C07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3M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460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009C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55DC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B61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44509991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C122A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DA54" w14:textId="77777777" w:rsidR="00FF1B18" w:rsidRDefault="00AE246A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B922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277D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3F5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270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481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5F7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3M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E56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B6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C86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15E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13E46588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027A4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1DB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4240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561B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473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CBB2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204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1F0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3M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6FE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B0FC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72B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8EA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0B1547D6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7CE59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1228" w14:textId="77777777" w:rsidR="00FF1B18" w:rsidRDefault="00AE246A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F_QRDUS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82F7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1014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9AA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7B7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6D2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29FE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3M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DC8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E636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5DD1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D73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5764BCFA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18CD9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2BD7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F_QSRUS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83C3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B391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C46D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621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D3AF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DDC7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3M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0923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687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8F6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3B6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6542B9DB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A580" w14:textId="77777777" w:rsidR="00FF1B18" w:rsidRDefault="00FF1B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1CF" w14:textId="77777777" w:rsidR="00FF1B18" w:rsidRDefault="00AE246A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F_QSFUS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21AB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4AD3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7937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14 days before departure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C0A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E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0040" w14:textId="77777777" w:rsidR="00FF1B18" w:rsidRDefault="00AE246A">
            <w:pPr>
              <w:spacing w:after="0"/>
              <w:ind w:left="46"/>
            </w:pPr>
            <w:r>
              <w:rPr>
                <w:rFonts w:ascii="Arial" w:eastAsia="Arial" w:hAnsi="Arial" w:cs="Arial"/>
                <w:sz w:val="20"/>
              </w:rPr>
              <w:t xml:space="preserve">3M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5E48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17E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8060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C629" w14:textId="77777777" w:rsidR="00FF1B18" w:rsidRDefault="00AE246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BE0F1C8" w14:textId="77777777" w:rsidR="00FF1B18" w:rsidRDefault="00AE246A">
      <w:pPr>
        <w:spacing w:after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2109" w:type="dxa"/>
        <w:tblInd w:w="-91" w:type="dxa"/>
        <w:tblCellMar>
          <w:top w:w="45" w:type="dxa"/>
          <w:left w:w="106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046"/>
        <w:gridCol w:w="1091"/>
        <w:gridCol w:w="454"/>
        <w:gridCol w:w="453"/>
        <w:gridCol w:w="3776"/>
        <w:gridCol w:w="2915"/>
        <w:gridCol w:w="1048"/>
        <w:gridCol w:w="443"/>
        <w:gridCol w:w="222"/>
        <w:gridCol w:w="220"/>
        <w:gridCol w:w="222"/>
        <w:gridCol w:w="219"/>
      </w:tblGrid>
      <w:tr w:rsidR="00FF1B18" w14:paraId="439B0BAC" w14:textId="77777777">
        <w:trPr>
          <w:trHeight w:val="24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CBA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FA0198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1BFCA3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B7B994" w14:textId="77777777" w:rsidR="00FF1B18" w:rsidRDefault="00AE246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9573DBA" w14:textId="77777777" w:rsidR="00FF1B18" w:rsidRDefault="00AE246A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Economy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F60B" w14:textId="77777777" w:rsidR="00FF1B18" w:rsidRDefault="00AE246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S_QRDUS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C5F0" w14:textId="77777777" w:rsidR="00FF1B18" w:rsidRDefault="00AE246A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35AB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C4C6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28 days before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D01A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25B2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1CF7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3M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20F2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F5C" w14:textId="77777777" w:rsidR="00FF1B18" w:rsidRDefault="00AE246A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E88B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A87" w14:textId="77777777" w:rsidR="00FF1B18" w:rsidRDefault="00AE246A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6347306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B9E6D" w14:textId="77777777" w:rsidR="00FF1B18" w:rsidRDefault="00FF1B1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660" w14:textId="77777777" w:rsidR="00FF1B18" w:rsidRDefault="00AE246A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S_QSRUS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F55B" w14:textId="77777777" w:rsidR="00FF1B18" w:rsidRDefault="00AE246A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DDD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8DE6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28 days before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AFDC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55C6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7861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3M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E6D9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E2DB" w14:textId="77777777" w:rsidR="00FF1B18" w:rsidRDefault="00AE246A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C519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2C3E" w14:textId="77777777" w:rsidR="00FF1B18" w:rsidRDefault="00AE246A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51250AB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885C8" w14:textId="77777777" w:rsidR="00FF1B18" w:rsidRDefault="00FF1B1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237E" w14:textId="77777777" w:rsidR="00FF1B18" w:rsidRDefault="00AE246A">
            <w:pPr>
              <w:spacing w:after="0"/>
              <w:ind w:left="13"/>
            </w:pPr>
            <w:r>
              <w:rPr>
                <w:rFonts w:ascii="Arial" w:eastAsia="Arial" w:hAnsi="Arial" w:cs="Arial"/>
                <w:sz w:val="20"/>
              </w:rPr>
              <w:t xml:space="preserve">S_QSFUS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90D0" w14:textId="77777777" w:rsidR="00FF1B18" w:rsidRDefault="00AE246A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2EBD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8%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E4D3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Reservations are required at least 28 days before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629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SU or 6 days (night from Sat. to Sun.)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B5FC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80 USD RT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5E63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3M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CDA3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BF9C" w14:textId="77777777" w:rsidR="00FF1B18" w:rsidRDefault="00AE246A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6B88" w14:textId="77777777" w:rsidR="00FF1B18" w:rsidRDefault="00AE246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3286" w14:textId="77777777" w:rsidR="00FF1B18" w:rsidRDefault="00AE246A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1B18" w14:paraId="64D38D8B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98FCA" w14:textId="77777777" w:rsidR="00FF1B18" w:rsidRDefault="00FF1B1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ADE26C" w14:textId="77777777" w:rsidR="00FF1B18" w:rsidRDefault="00AE246A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 xml:space="preserve">A_BPUS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3F8E3" w14:textId="77777777" w:rsidR="00FF1B18" w:rsidRDefault="00AE246A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3%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000A62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3% 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209B3D6D" w14:textId="77777777" w:rsidR="00FF1B18" w:rsidRDefault="00AE246A">
            <w:pPr>
              <w:spacing w:after="0"/>
              <w:ind w:left="2485"/>
            </w:pPr>
            <w:r>
              <w:rPr>
                <w:rFonts w:ascii="Arial" w:eastAsia="Arial" w:hAnsi="Arial" w:cs="Arial"/>
                <w:sz w:val="20"/>
              </w:rPr>
              <w:t xml:space="preserve">Charge 97% of the published promotional fare in effect </w:t>
            </w:r>
          </w:p>
          <w:p w14:paraId="7E9040AE" w14:textId="77777777" w:rsidR="00FF1B18" w:rsidRDefault="00AE246A">
            <w:pPr>
              <w:spacing w:after="0"/>
              <w:ind w:right="20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Identical conditions and ticketing to the terms of published promotional fare in effect </w:t>
            </w:r>
          </w:p>
        </w:tc>
        <w:tc>
          <w:tcPr>
            <w:tcW w:w="13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0E5B5A" w14:textId="77777777" w:rsidR="00FF1B18" w:rsidRDefault="00FF1B18"/>
        </w:tc>
      </w:tr>
      <w:tr w:rsidR="00FF1B18" w14:paraId="35213C8D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A0575" w14:textId="77777777" w:rsidR="00FF1B18" w:rsidRDefault="00FF1B1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E02BEE" w14:textId="77777777" w:rsidR="00FF1B18" w:rsidRDefault="00AE246A">
            <w:pPr>
              <w:spacing w:after="0"/>
              <w:ind w:left="68"/>
            </w:pPr>
            <w:r>
              <w:rPr>
                <w:rFonts w:ascii="Arial" w:eastAsia="Arial" w:hAnsi="Arial" w:cs="Arial"/>
                <w:sz w:val="20"/>
              </w:rPr>
              <w:t xml:space="preserve">A_CPUS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01F571" w14:textId="77777777" w:rsidR="00FF1B18" w:rsidRDefault="00AE246A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3%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31E1CB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3% 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BAFF83F" w14:textId="77777777" w:rsidR="00FF1B18" w:rsidRDefault="00AE246A">
            <w:pPr>
              <w:spacing w:after="0"/>
              <w:ind w:left="2485"/>
            </w:pPr>
            <w:r>
              <w:rPr>
                <w:rFonts w:ascii="Arial" w:eastAsia="Arial" w:hAnsi="Arial" w:cs="Arial"/>
                <w:sz w:val="20"/>
              </w:rPr>
              <w:t xml:space="preserve">Charge 97% of the published promotional fare in effect </w:t>
            </w:r>
          </w:p>
          <w:p w14:paraId="38D35803" w14:textId="77777777" w:rsidR="00FF1B18" w:rsidRDefault="00AE246A">
            <w:pPr>
              <w:spacing w:after="0"/>
              <w:ind w:right="20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Identical conditions and ticketing to the terms of published promotional fare in effect </w:t>
            </w:r>
          </w:p>
        </w:tc>
        <w:tc>
          <w:tcPr>
            <w:tcW w:w="13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E43DBD" w14:textId="77777777" w:rsidR="00FF1B18" w:rsidRDefault="00FF1B18"/>
        </w:tc>
      </w:tr>
      <w:tr w:rsidR="00FF1B18" w14:paraId="7555AD5D" w14:textId="7777777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AC3C" w14:textId="77777777" w:rsidR="00FF1B18" w:rsidRDefault="00FF1B1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0870C9" w14:textId="77777777" w:rsidR="00FF1B18" w:rsidRDefault="00AE246A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 xml:space="preserve">A_SPUS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B9395" w14:textId="77777777" w:rsidR="00FF1B18" w:rsidRDefault="00AE246A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3%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B97653" w14:textId="77777777" w:rsidR="00FF1B18" w:rsidRDefault="00AE246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3% 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77FD2BA9" w14:textId="77777777" w:rsidR="00FF1B18" w:rsidRDefault="00AE246A">
            <w:pPr>
              <w:spacing w:after="0"/>
              <w:ind w:left="2485"/>
            </w:pPr>
            <w:r>
              <w:rPr>
                <w:rFonts w:ascii="Arial" w:eastAsia="Arial" w:hAnsi="Arial" w:cs="Arial"/>
                <w:sz w:val="20"/>
              </w:rPr>
              <w:t xml:space="preserve">Charge 97% of the published promotional fare in effect </w:t>
            </w:r>
          </w:p>
          <w:p w14:paraId="4680E69C" w14:textId="77777777" w:rsidR="00FF1B18" w:rsidRDefault="00AE246A">
            <w:pPr>
              <w:spacing w:after="0"/>
              <w:ind w:right="20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Identical conditions and ticketing to the terms of published promotional fare in effect </w:t>
            </w:r>
          </w:p>
        </w:tc>
        <w:tc>
          <w:tcPr>
            <w:tcW w:w="13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1BBE05" w14:textId="77777777" w:rsidR="00FF1B18" w:rsidRDefault="00FF1B18"/>
        </w:tc>
      </w:tr>
    </w:tbl>
    <w:p w14:paraId="72E8CA09" w14:textId="77777777" w:rsidR="00FF1B18" w:rsidRDefault="00AE246A">
      <w:pPr>
        <w:spacing w:after="234"/>
        <w:ind w:left="91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79BA1D8" w14:textId="77777777" w:rsidR="00FF1B18" w:rsidRDefault="00AE246A">
      <w:pPr>
        <w:tabs>
          <w:tab w:val="center" w:pos="720"/>
          <w:tab w:val="center" w:pos="1440"/>
          <w:tab w:val="center" w:pos="2160"/>
          <w:tab w:val="center" w:pos="2880"/>
          <w:tab w:val="center" w:pos="5367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0"/>
        </w:rPr>
        <w:t xml:space="preserve">Fares: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Fares excluding all taxes and charges in USD </w:t>
      </w:r>
    </w:p>
    <w:p w14:paraId="589CCEEF" w14:textId="77777777" w:rsidR="00FF1B18" w:rsidRDefault="00AE246A">
      <w:pPr>
        <w:tabs>
          <w:tab w:val="center" w:pos="720"/>
          <w:tab w:val="center" w:pos="1440"/>
          <w:tab w:val="center" w:pos="2160"/>
          <w:tab w:val="center" w:pos="2880"/>
          <w:tab w:val="center" w:pos="8350"/>
        </w:tabs>
        <w:spacing w:after="0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Discount applicable on published fares, fare levels are for information only and may be modified at any time without advance notice </w:t>
      </w:r>
    </w:p>
    <w:p w14:paraId="12BB7D25" w14:textId="77777777" w:rsidR="00FF1B18" w:rsidRDefault="00AE246A">
      <w:pPr>
        <w:spacing w:after="0" w:line="268" w:lineRule="auto"/>
        <w:ind w:left="3610" w:hanging="10"/>
      </w:pPr>
      <w:r>
        <w:rPr>
          <w:rFonts w:ascii="Arial" w:eastAsia="Arial" w:hAnsi="Arial" w:cs="Arial"/>
          <w:sz w:val="20"/>
        </w:rPr>
        <w:t xml:space="preserve">Child/Infant discounts apply </w:t>
      </w:r>
    </w:p>
    <w:p w14:paraId="3DBCB182" w14:textId="77777777" w:rsidR="00FF1B18" w:rsidRDefault="00AE246A">
      <w:pPr>
        <w:spacing w:after="0" w:line="268" w:lineRule="auto"/>
        <w:ind w:left="3610" w:right="5103" w:hanging="10"/>
      </w:pPr>
      <w:r>
        <w:rPr>
          <w:rFonts w:ascii="Arial" w:eastAsia="Arial" w:hAnsi="Arial" w:cs="Arial"/>
          <w:sz w:val="20"/>
        </w:rPr>
        <w:t xml:space="preserve">Fare are only applicable on Corsair International (SS) operating flights </w:t>
      </w:r>
      <w:r>
        <w:rPr>
          <w:rFonts w:ascii="Arial" w:eastAsia="Arial" w:hAnsi="Arial" w:cs="Arial"/>
          <w:b/>
          <w:sz w:val="20"/>
        </w:rPr>
        <w:t xml:space="preserve">Sales and ticketing </w:t>
      </w:r>
      <w:r>
        <w:rPr>
          <w:rFonts w:ascii="Arial" w:eastAsia="Arial" w:hAnsi="Arial" w:cs="Arial"/>
          <w:b/>
          <w:sz w:val="20"/>
        </w:rPr>
        <w:t xml:space="preserve">in United States Only </w:t>
      </w:r>
    </w:p>
    <w:p w14:paraId="0AF2A37E" w14:textId="77777777" w:rsidR="00FF1B18" w:rsidRDefault="00AE246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976D565" w14:textId="77777777" w:rsidR="00FF1B18" w:rsidRDefault="00AE246A">
      <w:pPr>
        <w:tabs>
          <w:tab w:val="center" w:pos="720"/>
          <w:tab w:val="center" w:pos="1440"/>
          <w:tab w:val="center" w:pos="2160"/>
          <w:tab w:val="center" w:pos="2880"/>
          <w:tab w:val="center" w:pos="4615"/>
        </w:tabs>
        <w:spacing w:after="0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Taxes: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Must be shown on the ticket </w:t>
      </w:r>
    </w:p>
    <w:p w14:paraId="7EE53524" w14:textId="77777777" w:rsidR="00FF1B18" w:rsidRDefault="00AE246A">
      <w:pPr>
        <w:tabs>
          <w:tab w:val="center" w:pos="2160"/>
          <w:tab w:val="center" w:pos="2880"/>
          <w:tab w:val="center" w:pos="4660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0"/>
        </w:rPr>
        <w:t xml:space="preserve">Endorsement Box: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SS Only/NonRef/NonEndos </w:t>
      </w:r>
    </w:p>
    <w:p w14:paraId="3A34A1C9" w14:textId="77777777" w:rsidR="00FF1B18" w:rsidRDefault="00AE246A">
      <w:pPr>
        <w:spacing w:after="0" w:line="268" w:lineRule="auto"/>
        <w:ind w:left="3585" w:right="1901" w:hanging="3600"/>
      </w:pPr>
      <w:r>
        <w:rPr>
          <w:rFonts w:ascii="Arial" w:eastAsia="Arial" w:hAnsi="Arial" w:cs="Arial"/>
          <w:b/>
          <w:sz w:val="20"/>
        </w:rPr>
        <w:t xml:space="preserve">Add-On TGVAIR Railway: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The booking class must be identical to the long haul flight, except for the Premium Economy classes W/E/V for w</w:t>
      </w:r>
      <w:r>
        <w:rPr>
          <w:rFonts w:ascii="Arial" w:eastAsia="Arial" w:hAnsi="Arial" w:cs="Arial"/>
          <w:sz w:val="20"/>
        </w:rPr>
        <w:t xml:space="preserve">hich  the TGV sector will be in class Z </w:t>
      </w:r>
    </w:p>
    <w:p w14:paraId="102F71AA" w14:textId="77777777" w:rsidR="00FF1B18" w:rsidRDefault="00AE246A">
      <w:pPr>
        <w:tabs>
          <w:tab w:val="center" w:pos="8649"/>
        </w:tabs>
        <w:spacing w:after="0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Business &amp; Premium Economy class: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Supplement on negotiated fares for departure from Miami:  </w:t>
      </w:r>
      <w:r>
        <w:rPr>
          <w:rFonts w:ascii="Arial" w:eastAsia="Arial" w:hAnsi="Arial" w:cs="Arial"/>
          <w:b/>
          <w:sz w:val="20"/>
        </w:rPr>
        <w:t>USD 171.00*/leg</w:t>
      </w:r>
      <w:r>
        <w:rPr>
          <w:rFonts w:ascii="Arial" w:eastAsia="Arial" w:hAnsi="Arial" w:cs="Arial"/>
          <w:sz w:val="20"/>
        </w:rPr>
        <w:t xml:space="preserve"> (EUR 150.00/leg converted at the exchange rate of 28DEC18) </w:t>
      </w:r>
    </w:p>
    <w:p w14:paraId="072851D7" w14:textId="77777777" w:rsidR="00FF1B18" w:rsidRDefault="00AE246A">
      <w:pPr>
        <w:tabs>
          <w:tab w:val="center" w:pos="1440"/>
          <w:tab w:val="center" w:pos="2160"/>
          <w:tab w:val="center" w:pos="2880"/>
          <w:tab w:val="center" w:pos="7057"/>
        </w:tabs>
        <w:spacing w:after="0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Economy class: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Supplement on negotiated</w:t>
      </w:r>
      <w:r>
        <w:rPr>
          <w:rFonts w:ascii="Arial" w:eastAsia="Arial" w:hAnsi="Arial" w:cs="Arial"/>
          <w:sz w:val="20"/>
        </w:rPr>
        <w:t xml:space="preserve"> fares for departure from Miami according to the group of cities below </w:t>
      </w:r>
    </w:p>
    <w:p w14:paraId="30D858BB" w14:textId="77777777" w:rsidR="00FF1B18" w:rsidRDefault="00AE246A">
      <w:pPr>
        <w:tabs>
          <w:tab w:val="center" w:pos="720"/>
          <w:tab w:val="center" w:pos="1440"/>
          <w:tab w:val="center" w:pos="2160"/>
          <w:tab w:val="center" w:pos="2880"/>
          <w:tab w:val="center" w:pos="6456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*subject to weekly adjustments following update exchange rate EUR/USD </w:t>
      </w:r>
    </w:p>
    <w:p w14:paraId="76D0DD8A" w14:textId="77777777" w:rsidR="00FF1B18" w:rsidRDefault="00AE246A">
      <w:pPr>
        <w:tabs>
          <w:tab w:val="center" w:pos="720"/>
          <w:tab w:val="center" w:pos="1440"/>
          <w:tab w:val="center" w:pos="2160"/>
          <w:tab w:val="center" w:pos="2880"/>
          <w:tab w:val="center" w:pos="6406"/>
        </w:tabs>
        <w:spacing w:after="0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USD 80.00*/leg </w:t>
      </w:r>
      <w:r>
        <w:rPr>
          <w:rFonts w:ascii="Arial" w:eastAsia="Arial" w:hAnsi="Arial" w:cs="Arial"/>
          <w:sz w:val="20"/>
        </w:rPr>
        <w:t xml:space="preserve">(EUR 70.00/leg converted at the exchange rate of 28DEC18) </w:t>
      </w:r>
    </w:p>
    <w:p w14:paraId="45CFEEA5" w14:textId="77777777" w:rsidR="00FF1B18" w:rsidRDefault="00AE246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5672" w:type="dxa"/>
        <w:tblInd w:w="3600" w:type="dxa"/>
        <w:tblCellMar>
          <w:top w:w="4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  <w:gridCol w:w="1800"/>
      </w:tblGrid>
      <w:tr w:rsidR="00FF1B18" w14:paraId="000C52A7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FEFD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City Name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21F3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Rail Station </w:t>
            </w:r>
          </w:p>
        </w:tc>
      </w:tr>
      <w:tr w:rsidR="00FF1B18" w14:paraId="6F0BB84F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F61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Angers St. Laud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7DB7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QXG </w:t>
            </w:r>
          </w:p>
        </w:tc>
      </w:tr>
      <w:tr w:rsidR="00FF1B18" w14:paraId="06C11047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EF1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Champagne (Reims)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149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XIZ </w:t>
            </w:r>
          </w:p>
        </w:tc>
      </w:tr>
      <w:tr w:rsidR="00FF1B18" w14:paraId="2EFF8887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6B4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Le Mans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7919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ZLN </w:t>
            </w:r>
          </w:p>
        </w:tc>
      </w:tr>
      <w:tr w:rsidR="00FF1B18" w14:paraId="0418D29D" w14:textId="77777777">
        <w:trPr>
          <w:trHeight w:val="23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71B8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Lille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6F0B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XDB </w:t>
            </w:r>
          </w:p>
        </w:tc>
      </w:tr>
      <w:tr w:rsidR="00FF1B18" w14:paraId="13DD992D" w14:textId="77777777">
        <w:trPr>
          <w:trHeight w:val="24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8DCD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Lorraine (Metz)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D73A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XZI </w:t>
            </w:r>
          </w:p>
        </w:tc>
      </w:tr>
      <w:tr w:rsidR="00FF1B18" w14:paraId="5D7D3EAE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034D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Lyon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8467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XVD </w:t>
            </w:r>
          </w:p>
        </w:tc>
      </w:tr>
      <w:tr w:rsidR="00FF1B18" w14:paraId="558AF1BE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7C31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Nantes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3B9D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QJZ </w:t>
            </w:r>
          </w:p>
        </w:tc>
      </w:tr>
      <w:tr w:rsidR="00FF1B18" w14:paraId="1CA7E6A1" w14:textId="77777777">
        <w:trPr>
          <w:trHeight w:val="23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DB97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Poltiers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1A55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XOP </w:t>
            </w:r>
          </w:p>
        </w:tc>
      </w:tr>
      <w:tr w:rsidR="00FF1B18" w14:paraId="1F4A9B16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675B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Rennes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0916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ZFJ </w:t>
            </w:r>
          </w:p>
        </w:tc>
      </w:tr>
      <w:tr w:rsidR="00FF1B18" w14:paraId="59E6E63B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6BD8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St. Pierre des Corps (Tours)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092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XSH </w:t>
            </w:r>
          </w:p>
        </w:tc>
      </w:tr>
      <w:tr w:rsidR="00FF1B18" w14:paraId="56272D6C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536F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Aix en Provence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6F50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QXB </w:t>
            </w:r>
          </w:p>
        </w:tc>
      </w:tr>
      <w:tr w:rsidR="00FF1B18" w14:paraId="16153EA5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6E83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Avignon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6F1B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XZN </w:t>
            </w:r>
          </w:p>
        </w:tc>
      </w:tr>
      <w:tr w:rsidR="00FF1B18" w14:paraId="59841710" w14:textId="77777777">
        <w:trPr>
          <w:trHeight w:val="23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FFA1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Bordeaux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AC76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ZFQ </w:t>
            </w:r>
          </w:p>
        </w:tc>
      </w:tr>
      <w:tr w:rsidR="00FF1B18" w14:paraId="3EA67CD0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A5BE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Marseille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3733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XRF </w:t>
            </w:r>
          </w:p>
        </w:tc>
      </w:tr>
      <w:tr w:rsidR="00FF1B18" w14:paraId="266F73C4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16E0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Montpellier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44A7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XPJ </w:t>
            </w:r>
          </w:p>
        </w:tc>
      </w:tr>
      <w:tr w:rsidR="00FF1B18" w14:paraId="2041C988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E96B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Nimes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5EB9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ZYN </w:t>
            </w:r>
          </w:p>
        </w:tc>
      </w:tr>
      <w:tr w:rsidR="00FF1B18" w14:paraId="28C68F56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36A8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Strasbourg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931D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XWG </w:t>
            </w:r>
          </w:p>
        </w:tc>
      </w:tr>
      <w:tr w:rsidR="00FF1B18" w14:paraId="7A0F3F4D" w14:textId="77777777">
        <w:trPr>
          <w:trHeight w:val="24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9AE0" w14:textId="77777777" w:rsidR="00FF1B18" w:rsidRDefault="00AE246A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Valence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6BE7" w14:textId="77777777" w:rsidR="00FF1B18" w:rsidRDefault="00AE246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XHK </w:t>
            </w:r>
          </w:p>
        </w:tc>
      </w:tr>
    </w:tbl>
    <w:p w14:paraId="35FC6AA1" w14:textId="77777777" w:rsidR="00FF1B18" w:rsidRDefault="00AE246A">
      <w:pPr>
        <w:spacing w:after="1"/>
      </w:pPr>
      <w:r>
        <w:rPr>
          <w:rFonts w:ascii="Arial" w:eastAsia="Arial" w:hAnsi="Arial" w:cs="Arial"/>
          <w:sz w:val="20"/>
        </w:rPr>
        <w:t xml:space="preserve"> </w:t>
      </w:r>
    </w:p>
    <w:p w14:paraId="2F936D7E" w14:textId="77777777" w:rsidR="00FF1B18" w:rsidRDefault="00AE246A">
      <w:pPr>
        <w:tabs>
          <w:tab w:val="center" w:pos="2160"/>
          <w:tab w:val="center" w:pos="2880"/>
          <w:tab w:val="center" w:pos="6208"/>
        </w:tabs>
        <w:spacing w:after="0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Baggage Allowance: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Business &amp; Premium Economy Class: 2 pieces of 32KG maximum each </w:t>
      </w:r>
    </w:p>
    <w:p w14:paraId="45DC4DCB" w14:textId="77777777" w:rsidR="00FF1B18" w:rsidRDefault="00AE246A">
      <w:pPr>
        <w:spacing w:after="0" w:line="268" w:lineRule="auto"/>
        <w:ind w:left="-5" w:right="1071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Economy Class:  1 piece of 23KG for adults or children, 10KG for infant (under 2 years) not occupying a seat plus 1 pushchair </w:t>
      </w:r>
      <w:r>
        <w:rPr>
          <w:rFonts w:ascii="Arial" w:eastAsia="Arial" w:hAnsi="Arial" w:cs="Arial"/>
          <w:b/>
          <w:sz w:val="20"/>
        </w:rPr>
        <w:t xml:space="preserve">Hand baggage allowance: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Business &amp; Premium Economy Class:  18KG </w:t>
      </w:r>
    </w:p>
    <w:p w14:paraId="2FA1487A" w14:textId="77777777" w:rsidR="00FF1B18" w:rsidRDefault="00AE246A">
      <w:pPr>
        <w:tabs>
          <w:tab w:val="center" w:pos="720"/>
          <w:tab w:val="center" w:pos="1440"/>
          <w:tab w:val="center" w:pos="2160"/>
          <w:tab w:val="center" w:pos="2880"/>
          <w:tab w:val="center" w:pos="4447"/>
        </w:tabs>
        <w:spacing w:after="31" w:line="268" w:lineRule="auto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Economy Class:  12KG </w:t>
      </w:r>
    </w:p>
    <w:p w14:paraId="59664117" w14:textId="77777777" w:rsidR="00FF1B18" w:rsidRDefault="00AE246A">
      <w:pPr>
        <w:pStyle w:val="Heading1"/>
        <w:tabs>
          <w:tab w:val="center" w:pos="1440"/>
          <w:tab w:val="center" w:pos="2160"/>
          <w:tab w:val="center" w:pos="2880"/>
          <w:tab w:val="center" w:pos="4515"/>
        </w:tabs>
        <w:ind w:left="-15" w:right="0" w:firstLine="0"/>
      </w:pPr>
      <w:r>
        <w:rPr>
          <w:sz w:val="20"/>
        </w:rPr>
        <w:t xml:space="preserve">Tour Code: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>IT9SS201TRA</w:t>
      </w:r>
      <w:r>
        <w:t xml:space="preserve">DEUS </w:t>
      </w:r>
    </w:p>
    <w:p w14:paraId="42DC0837" w14:textId="77777777" w:rsidR="00FF1B18" w:rsidRDefault="00AE246A">
      <w:pPr>
        <w:tabs>
          <w:tab w:val="center" w:pos="1440"/>
          <w:tab w:val="center" w:pos="2160"/>
          <w:tab w:val="center" w:pos="2880"/>
          <w:tab w:val="center" w:pos="6400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0"/>
        </w:rPr>
        <w:t xml:space="preserve">Fare Basis: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Base fare published code plus /CT or /OTA or /SOTA or /CONS or /SPEC </w:t>
      </w:r>
    </w:p>
    <w:p w14:paraId="0E33FF4C" w14:textId="77777777" w:rsidR="00FF1B18" w:rsidRDefault="00AE246A">
      <w:pPr>
        <w:tabs>
          <w:tab w:val="center" w:pos="1440"/>
          <w:tab w:val="center" w:pos="2160"/>
          <w:tab w:val="center" w:pos="2880"/>
          <w:tab w:val="center" w:pos="6010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0"/>
        </w:rPr>
        <w:t xml:space="preserve">Markup: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Allowed but not mandatory, you can sell below published fare </w:t>
      </w:r>
    </w:p>
    <w:p w14:paraId="7BD5CDDD" w14:textId="77777777" w:rsidR="00FF1B18" w:rsidRDefault="00AE246A">
      <w:pPr>
        <w:spacing w:after="12" w:line="249" w:lineRule="auto"/>
        <w:ind w:left="3585" w:hanging="3600"/>
      </w:pPr>
      <w:r>
        <w:rPr>
          <w:rFonts w:ascii="Arial" w:eastAsia="Arial" w:hAnsi="Arial" w:cs="Arial"/>
          <w:b/>
          <w:sz w:val="20"/>
        </w:rPr>
        <w:t xml:space="preserve">Website advertising: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>Agencies are prohibited from advertising in any media gen</w:t>
      </w:r>
      <w:r>
        <w:rPr>
          <w:rFonts w:ascii="Arial" w:eastAsia="Arial" w:hAnsi="Arial" w:cs="Arial"/>
          <w:b/>
          <w:sz w:val="20"/>
        </w:rPr>
        <w:t xml:space="preserve">erally accessible by the public, any retail agency, on-line travel agency,  wholesaler, consolidator, tour operator or entity, a price that is below the price available through applicable published fare for itinerary concerned.  Any such advertising shall </w:t>
      </w:r>
      <w:r>
        <w:rPr>
          <w:rFonts w:ascii="Arial" w:eastAsia="Arial" w:hAnsi="Arial" w:cs="Arial"/>
          <w:b/>
          <w:sz w:val="20"/>
        </w:rPr>
        <w:t xml:space="preserve">entitle Corsair to terminate this agreement </w:t>
      </w:r>
    </w:p>
    <w:p w14:paraId="54478D85" w14:textId="77777777" w:rsidR="00FF1B18" w:rsidRDefault="00AE246A">
      <w:pPr>
        <w:tabs>
          <w:tab w:val="center" w:pos="2160"/>
          <w:tab w:val="center" w:pos="2880"/>
          <w:tab w:val="center" w:pos="8519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0"/>
        </w:rPr>
        <w:t xml:space="preserve">GDS usage: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Agencies must use the GDS for legitimate airline reservations and ticketing only.  Under no circumstances are segments to be  </w:t>
      </w:r>
    </w:p>
    <w:p w14:paraId="580D196E" w14:textId="77777777" w:rsidR="00FF1B18" w:rsidRDefault="00AE246A">
      <w:pPr>
        <w:spacing w:after="12" w:line="249" w:lineRule="auto"/>
        <w:ind w:left="3610" w:hanging="10"/>
      </w:pPr>
      <w:r>
        <w:rPr>
          <w:rFonts w:ascii="Arial" w:eastAsia="Arial" w:hAnsi="Arial" w:cs="Arial"/>
          <w:b/>
          <w:sz w:val="20"/>
        </w:rPr>
        <w:t xml:space="preserve">created that are not to be ticketed. </w:t>
      </w:r>
    </w:p>
    <w:p w14:paraId="0995834E" w14:textId="77777777" w:rsidR="00FF1B18" w:rsidRDefault="00AE246A">
      <w:pPr>
        <w:spacing w:after="12" w:line="249" w:lineRule="auto"/>
        <w:ind w:left="3610" w:right="317" w:hanging="10"/>
      </w:pPr>
      <w:r>
        <w:rPr>
          <w:rFonts w:ascii="Arial" w:eastAsia="Arial" w:hAnsi="Arial" w:cs="Arial"/>
          <w:b/>
          <w:sz w:val="20"/>
        </w:rPr>
        <w:t>All HX segments must be cancel</w:t>
      </w:r>
      <w:r>
        <w:rPr>
          <w:rFonts w:ascii="Arial" w:eastAsia="Arial" w:hAnsi="Arial" w:cs="Arial"/>
          <w:b/>
          <w:sz w:val="20"/>
        </w:rPr>
        <w:t xml:space="preserve">led immediately in any case before the first flight date in the PNR.  Failing this, debits will be sent  to the agency and must be paid immediately </w:t>
      </w:r>
    </w:p>
    <w:p w14:paraId="47DB01DB" w14:textId="77777777" w:rsidR="00FF1B18" w:rsidRDefault="00AE246A">
      <w:pPr>
        <w:tabs>
          <w:tab w:val="center" w:pos="2880"/>
          <w:tab w:val="center" w:pos="8230"/>
        </w:tabs>
        <w:spacing w:after="2" w:line="263" w:lineRule="auto"/>
        <w:ind w:left="-15"/>
      </w:pPr>
      <w:r>
        <w:rPr>
          <w:rFonts w:ascii="Arial" w:eastAsia="Arial" w:hAnsi="Arial" w:cs="Arial"/>
          <w:b/>
          <w:sz w:val="20"/>
        </w:rPr>
        <w:t xml:space="preserve">Search Engine Marketing: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The agency is not permitted to bid on Airline’s brand related terms.  This consists of variations of Airline related terms, </w:t>
      </w:r>
    </w:p>
    <w:p w14:paraId="37E30314" w14:textId="77777777" w:rsidR="00FF1B18" w:rsidRDefault="00AE246A">
      <w:pPr>
        <w:spacing w:after="2" w:line="263" w:lineRule="auto"/>
        <w:ind w:left="-5" w:right="590" w:hanging="1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>Product names, misspellings and company URL’s.  Forbidden keywords include but are not limited to:  Airline, Fly Airline,</w: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Airline Airline, Airline Airlines, </w:t>
      </w:r>
      <w:hyperlink r:id="rId8">
        <w:r>
          <w:rPr>
            <w:rFonts w:ascii="Arial" w:eastAsia="Arial" w:hAnsi="Arial" w:cs="Arial"/>
            <w:b/>
            <w:color w:val="0000FF"/>
            <w:sz w:val="20"/>
            <w:u w:val="single" w:color="0000FF"/>
          </w:rPr>
          <w:t>www.airline.com</w:t>
        </w:r>
      </w:hyperlink>
      <w:hyperlink r:id="rId9">
        <w:r>
          <w:rPr>
            <w:rFonts w:ascii="Arial" w:eastAsia="Arial" w:hAnsi="Arial" w:cs="Arial"/>
            <w:b/>
            <w:sz w:val="20"/>
          </w:rPr>
          <w:t>,</w:t>
        </w:r>
      </w:hyperlink>
      <w:r>
        <w:rPr>
          <w:rFonts w:ascii="Arial" w:eastAsia="Arial" w:hAnsi="Arial" w:cs="Arial"/>
          <w:b/>
          <w:sz w:val="20"/>
        </w:rPr>
        <w:t xml:space="preserve"> Airline.com, etc </w:t>
      </w:r>
    </w:p>
    <w:p w14:paraId="1AF9EBE9" w14:textId="77777777" w:rsidR="00FF1B18" w:rsidRDefault="00AE246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0DC14BA" w14:textId="77777777" w:rsidR="00FF1B18" w:rsidRDefault="00AE246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br w:type="page"/>
      </w:r>
    </w:p>
    <w:p w14:paraId="1613D733" w14:textId="77777777" w:rsidR="00FF1B18" w:rsidRDefault="00AE246A">
      <w:pPr>
        <w:spacing w:after="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14:paraId="123378C7" w14:textId="77777777" w:rsidR="00FF1B18" w:rsidRDefault="00AE246A">
      <w:pPr>
        <w:spacing w:after="6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BAD2094" w14:textId="77777777" w:rsidR="00FF1B18" w:rsidRDefault="00AE246A">
      <w:pPr>
        <w:spacing w:after="0"/>
        <w:ind w:left="1080"/>
      </w:pPr>
      <w:r>
        <w:rPr>
          <w:b/>
          <w:sz w:val="28"/>
        </w:rPr>
        <w:t xml:space="preserve">Pricing entries are below and divided by GDS utilized: </w:t>
      </w:r>
    </w:p>
    <w:p w14:paraId="1BC7AB64" w14:textId="77777777" w:rsidR="00FF1B18" w:rsidRDefault="00AE246A">
      <w:pPr>
        <w:spacing w:after="0"/>
        <w:ind w:right="4826"/>
        <w:jc w:val="right"/>
      </w:pPr>
      <w:r>
        <w:t xml:space="preserve">(If you have any issues with the formats shown below, please contact your GDS support desk) </w:t>
      </w:r>
    </w:p>
    <w:p w14:paraId="5606E069" w14:textId="77777777" w:rsidR="00FF1B18" w:rsidRDefault="00AE246A">
      <w:pPr>
        <w:spacing w:after="0"/>
        <w:ind w:left="1080"/>
      </w:pPr>
      <w:r>
        <w:rPr>
          <w:b/>
        </w:rPr>
        <w:t xml:space="preserve"> </w:t>
      </w:r>
    </w:p>
    <w:tbl>
      <w:tblPr>
        <w:tblStyle w:val="TableGrid"/>
        <w:tblW w:w="9726" w:type="dxa"/>
        <w:tblInd w:w="-106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6990"/>
      </w:tblGrid>
      <w:tr w:rsidR="00FF1B18" w14:paraId="78B7D545" w14:textId="77777777">
        <w:trPr>
          <w:trHeight w:val="283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60DC081D" w14:textId="77777777" w:rsidR="00FF1B18" w:rsidRDefault="00AE246A">
            <w:pPr>
              <w:spacing w:after="0"/>
              <w:ind w:left="8"/>
              <w:jc w:val="center"/>
            </w:pPr>
            <w:r>
              <w:t xml:space="preserve">GDS 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743036EB" w14:textId="77777777" w:rsidR="00FF1B18" w:rsidRDefault="00AE246A">
            <w:pPr>
              <w:spacing w:after="0"/>
              <w:ind w:left="2"/>
            </w:pPr>
            <w:r>
              <w:t xml:space="preserve">Pricing Entries </w:t>
            </w:r>
          </w:p>
        </w:tc>
      </w:tr>
      <w:tr w:rsidR="00FF1B18" w14:paraId="1DE0486D" w14:textId="77777777">
        <w:trPr>
          <w:trHeight w:val="346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9F1"/>
          </w:tcPr>
          <w:p w14:paraId="3F7DBAAB" w14:textId="77777777" w:rsidR="00FF1B18" w:rsidRDefault="00FF1B18"/>
        </w:tc>
        <w:tc>
          <w:tcPr>
            <w:tcW w:w="6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14:paraId="556EFCAC" w14:textId="77777777" w:rsidR="00FF1B18" w:rsidRDefault="00AE246A">
            <w:pPr>
              <w:spacing w:after="0"/>
              <w:ind w:left="1993"/>
            </w:pPr>
            <w:r>
              <w:rPr>
                <w:sz w:val="24"/>
              </w:rPr>
              <w:t xml:space="preserve">  </w:t>
            </w:r>
          </w:p>
        </w:tc>
      </w:tr>
      <w:tr w:rsidR="00FF1B18" w14:paraId="4F616D42" w14:textId="77777777">
        <w:trPr>
          <w:trHeight w:val="473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72D54" w14:textId="77777777" w:rsidR="00FF1B18" w:rsidRDefault="00AE246A">
            <w:pPr>
              <w:spacing w:after="0"/>
            </w:pPr>
            <w:r>
              <w:rPr>
                <w:sz w:val="24"/>
              </w:rPr>
              <w:t xml:space="preserve">AMADEUS </w:t>
            </w:r>
          </w:p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A2BE0B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Display:  FQDMIAPAR/ASS/D15OCT/R,U </w:t>
            </w:r>
          </w:p>
        </w:tc>
      </w:tr>
      <w:tr w:rsidR="00FF1B18" w14:paraId="313F4646" w14:textId="7777777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95ED5" w14:textId="77777777" w:rsidR="00FF1B18" w:rsidRDefault="00FF1B18"/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A7F3C2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Pricing:  FXX/R, U </w:t>
            </w:r>
          </w:p>
        </w:tc>
      </w:tr>
      <w:tr w:rsidR="00FF1B18" w14:paraId="06AEC77C" w14:textId="77777777">
        <w:trPr>
          <w:trHeight w:val="346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9F1"/>
          </w:tcPr>
          <w:p w14:paraId="6377BB60" w14:textId="77777777" w:rsidR="00FF1B18" w:rsidRDefault="00AE246A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14:paraId="035C4AD0" w14:textId="77777777" w:rsidR="00FF1B18" w:rsidRDefault="00FF1B18"/>
        </w:tc>
      </w:tr>
      <w:tr w:rsidR="00FF1B18" w14:paraId="2D47C24F" w14:textId="77777777">
        <w:trPr>
          <w:trHeight w:val="473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A32E" w14:textId="77777777" w:rsidR="00FF1B18" w:rsidRDefault="00AE246A">
            <w:pPr>
              <w:spacing w:after="0"/>
            </w:pPr>
            <w:r>
              <w:rPr>
                <w:sz w:val="24"/>
              </w:rPr>
              <w:t xml:space="preserve">SABRE </w:t>
            </w:r>
          </w:p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AC1252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Display:  FQMIAPAR15OCT-SS¥PV </w:t>
            </w:r>
          </w:p>
        </w:tc>
      </w:tr>
      <w:tr w:rsidR="00FF1B18" w14:paraId="6E32DFB5" w14:textId="7777777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2778" w14:textId="77777777" w:rsidR="00FF1B18" w:rsidRDefault="00FF1B18"/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54E71B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Pricing:  WPPJCB </w:t>
            </w:r>
          </w:p>
        </w:tc>
      </w:tr>
      <w:tr w:rsidR="00FF1B18" w14:paraId="07ECD779" w14:textId="77777777">
        <w:trPr>
          <w:trHeight w:val="343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9F1"/>
          </w:tcPr>
          <w:p w14:paraId="30BD07FC" w14:textId="77777777" w:rsidR="00FF1B18" w:rsidRDefault="00AE246A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14:paraId="5EE8114E" w14:textId="77777777" w:rsidR="00FF1B18" w:rsidRDefault="00FF1B18"/>
        </w:tc>
      </w:tr>
      <w:tr w:rsidR="00FF1B18" w14:paraId="1079FEE0" w14:textId="77777777">
        <w:trPr>
          <w:trHeight w:val="473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2F348" w14:textId="77777777" w:rsidR="00FF1B18" w:rsidRDefault="00AE246A">
            <w:pPr>
              <w:spacing w:after="0"/>
            </w:pPr>
            <w:r>
              <w:rPr>
                <w:sz w:val="24"/>
              </w:rPr>
              <w:t xml:space="preserve">APOLLO </w:t>
            </w:r>
          </w:p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0BDF16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Display: $DMIAPAR15OCT*SS:P </w:t>
            </w:r>
          </w:p>
        </w:tc>
      </w:tr>
      <w:tr w:rsidR="00FF1B18" w14:paraId="0515FE37" w14:textId="7777777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8D79" w14:textId="77777777" w:rsidR="00FF1B18" w:rsidRDefault="00FF1B18"/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C73A57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Quote: $B </w:t>
            </w:r>
          </w:p>
        </w:tc>
      </w:tr>
      <w:tr w:rsidR="00FF1B18" w14:paraId="3E32BE8D" w14:textId="77777777">
        <w:trPr>
          <w:trHeight w:val="346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</w:tcPr>
          <w:p w14:paraId="37C638F5" w14:textId="77777777" w:rsidR="00FF1B18" w:rsidRDefault="00AE246A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14:paraId="4A83D297" w14:textId="77777777" w:rsidR="00FF1B18" w:rsidRDefault="00FF1B18"/>
        </w:tc>
      </w:tr>
      <w:tr w:rsidR="00FF1B18" w14:paraId="1F1A7274" w14:textId="77777777">
        <w:trPr>
          <w:trHeight w:val="473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4FCF1" w14:textId="77777777" w:rsidR="00FF1B18" w:rsidRDefault="00AE246A">
            <w:pPr>
              <w:spacing w:after="0"/>
            </w:pPr>
            <w:r>
              <w:rPr>
                <w:sz w:val="24"/>
              </w:rPr>
              <w:t xml:space="preserve">WORLDSPAN </w:t>
            </w:r>
          </w:p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287B9A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Display: 4FMIAPAR15OCTSR-SS </w:t>
            </w:r>
          </w:p>
        </w:tc>
      </w:tr>
      <w:tr w:rsidR="00FF1B18" w14:paraId="1A6D50F7" w14:textId="7777777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85C2" w14:textId="77777777" w:rsidR="00FF1B18" w:rsidRDefault="00FF1B18"/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095777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Quote: 4PFSR.SR </w:t>
            </w:r>
          </w:p>
        </w:tc>
      </w:tr>
      <w:tr w:rsidR="00FF1B18" w14:paraId="3EB6FAA6" w14:textId="77777777">
        <w:trPr>
          <w:trHeight w:val="463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</w:tcPr>
          <w:p w14:paraId="6EC7DA63" w14:textId="77777777" w:rsidR="00FF1B18" w:rsidRDefault="00AE246A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14:paraId="0411ECD3" w14:textId="77777777" w:rsidR="00FF1B18" w:rsidRDefault="00FF1B18"/>
        </w:tc>
      </w:tr>
      <w:tr w:rsidR="00FF1B18" w14:paraId="6A7BD586" w14:textId="77777777">
        <w:trPr>
          <w:trHeight w:val="473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A7B4A" w14:textId="77777777" w:rsidR="00FF1B18" w:rsidRDefault="00AE246A">
            <w:pPr>
              <w:spacing w:after="0"/>
            </w:pPr>
            <w:r>
              <w:rPr>
                <w:sz w:val="24"/>
              </w:rPr>
              <w:t xml:space="preserve">GALILEO </w:t>
            </w:r>
          </w:p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187636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Display: FDNYCJNB15OCT/SS-PRI:P </w:t>
            </w:r>
          </w:p>
        </w:tc>
      </w:tr>
      <w:tr w:rsidR="00FF1B18" w14:paraId="29401150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62B4" w14:textId="77777777" w:rsidR="00FF1B18" w:rsidRDefault="00FF1B18"/>
        </w:tc>
        <w:tc>
          <w:tcPr>
            <w:tcW w:w="6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C651E1" w14:textId="77777777" w:rsidR="00FF1B18" w:rsidRDefault="00AE246A">
            <w:pPr>
              <w:spacing w:after="0"/>
              <w:ind w:left="2"/>
            </w:pPr>
            <w:r>
              <w:rPr>
                <w:sz w:val="24"/>
              </w:rPr>
              <w:t xml:space="preserve">Quote: FQ.NYC/CSS:P </w:t>
            </w:r>
          </w:p>
        </w:tc>
      </w:tr>
    </w:tbl>
    <w:p w14:paraId="19E4E51C" w14:textId="77777777" w:rsidR="00FF1B18" w:rsidRDefault="00AE246A">
      <w:pPr>
        <w:spacing w:after="0"/>
      </w:pPr>
      <w:r>
        <w:lastRenderedPageBreak/>
        <w:t xml:space="preserve"> </w:t>
      </w:r>
      <w:r>
        <w:tab/>
        <w:t xml:space="preserve"> </w:t>
      </w:r>
    </w:p>
    <w:p w14:paraId="7D361BBD" w14:textId="77777777" w:rsidR="00FF1B18" w:rsidRDefault="00AE246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FD3272F" w14:textId="77777777" w:rsidR="00FF1B18" w:rsidRDefault="00AE246A">
      <w:pPr>
        <w:spacing w:after="1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29303EE" w14:textId="77777777" w:rsidR="00FF1B18" w:rsidRDefault="00AE246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5D0A6A5F" w14:textId="77777777" w:rsidR="00FF1B18" w:rsidRDefault="00AE246A">
      <w:pPr>
        <w:spacing w:after="259" w:line="249" w:lineRule="auto"/>
        <w:ind w:left="730" w:hanging="10"/>
      </w:pPr>
      <w:r>
        <w:rPr>
          <w:rFonts w:ascii="Arial" w:eastAsia="Arial" w:hAnsi="Arial" w:cs="Arial"/>
          <w:b/>
          <w:sz w:val="20"/>
        </w:rPr>
        <w:t xml:space="preserve">Agency debit memo resolution/settlement: </w:t>
      </w:r>
    </w:p>
    <w:p w14:paraId="739F9F18" w14:textId="1F0D10C7" w:rsidR="00FF1B18" w:rsidRDefault="00AE246A">
      <w:pPr>
        <w:numPr>
          <w:ilvl w:val="0"/>
          <w:numId w:val="1"/>
        </w:numPr>
        <w:spacing w:after="58"/>
        <w:ind w:hanging="360"/>
      </w:pPr>
      <w:r>
        <w:rPr>
          <w:rFonts w:ascii="Arial" w:eastAsia="Arial" w:hAnsi="Arial" w:cs="Arial"/>
          <w:sz w:val="20"/>
          <w:u w:val="single" w:color="000000"/>
        </w:rPr>
        <w:t xml:space="preserve">Agencies electing to utilize this </w:t>
      </w:r>
      <w:bookmarkStart w:id="0" w:name="_GoBack"/>
      <w:bookmarkEnd w:id="0"/>
      <w:r>
        <w:rPr>
          <w:rFonts w:ascii="Arial" w:eastAsia="Arial" w:hAnsi="Arial" w:cs="Arial"/>
          <w:sz w:val="20"/>
          <w:u w:val="single" w:color="000000"/>
        </w:rPr>
        <w:t xml:space="preserve"> Air</w:t>
      </w:r>
      <w:r>
        <w:rPr>
          <w:rFonts w:ascii="Arial" w:eastAsia="Arial" w:hAnsi="Arial" w:cs="Arial"/>
          <w:i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 xml:space="preserve">/Corsair </w:t>
      </w:r>
      <w:r>
        <w:rPr>
          <w:rFonts w:ascii="Arial" w:eastAsia="Arial" w:hAnsi="Arial" w:cs="Arial"/>
          <w:sz w:val="20"/>
          <w:u w:val="single" w:color="000000"/>
        </w:rPr>
        <w:t>agreement are required to register in the ARC debit memo manager for agency debit memo resolution/settlement.</w:t>
      </w:r>
      <w:r>
        <w:rPr>
          <w:rFonts w:ascii="Arial" w:eastAsia="Arial" w:hAnsi="Arial" w:cs="Arial"/>
          <w:sz w:val="20"/>
        </w:rPr>
        <w:t xml:space="preserve"> </w:t>
      </w:r>
    </w:p>
    <w:p w14:paraId="4DA751BB" w14:textId="77777777" w:rsidR="00FF1B18" w:rsidRDefault="00AE246A">
      <w:pPr>
        <w:numPr>
          <w:ilvl w:val="0"/>
          <w:numId w:val="1"/>
        </w:numPr>
        <w:spacing w:after="0" w:line="268" w:lineRule="auto"/>
        <w:ind w:hanging="360"/>
      </w:pPr>
      <w:r>
        <w:rPr>
          <w:rFonts w:ascii="Arial" w:eastAsia="Arial" w:hAnsi="Arial" w:cs="Arial"/>
          <w:sz w:val="20"/>
        </w:rPr>
        <w:t xml:space="preserve">Agency Debit Memo’s must be settled within 30 days from the date they are uploaded in ARC Debit memo manager unless validity is disputed. </w:t>
      </w:r>
    </w:p>
    <w:p w14:paraId="26F75012" w14:textId="77777777" w:rsidR="00FF1B18" w:rsidRDefault="00AE246A">
      <w:pPr>
        <w:spacing w:after="17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sectPr w:rsidR="00FF1B18">
      <w:footerReference w:type="even" r:id="rId10"/>
      <w:footerReference w:type="default" r:id="rId11"/>
      <w:footerReference w:type="first" r:id="rId12"/>
      <w:pgSz w:w="15840" w:h="12240" w:orient="landscape"/>
      <w:pgMar w:top="720" w:right="865" w:bottom="1399" w:left="72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255D" w14:textId="77777777" w:rsidR="00AE246A" w:rsidRDefault="00AE246A">
      <w:pPr>
        <w:spacing w:after="0" w:line="240" w:lineRule="auto"/>
      </w:pPr>
      <w:r>
        <w:separator/>
      </w:r>
    </w:p>
  </w:endnote>
  <w:endnote w:type="continuationSeparator" w:id="0">
    <w:p w14:paraId="459D783C" w14:textId="77777777" w:rsidR="00AE246A" w:rsidRDefault="00AE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7A84" w14:textId="77777777" w:rsidR="00FF1B18" w:rsidRDefault="00AE246A">
    <w:pPr>
      <w:spacing w:after="0"/>
    </w:pPr>
    <w:r>
      <w:t xml:space="preserve"> </w:t>
    </w:r>
  </w:p>
  <w:p w14:paraId="077D1AAF" w14:textId="77777777" w:rsidR="00FF1B18" w:rsidRDefault="00AE246A">
    <w:pPr>
      <w:spacing w:after="0"/>
    </w:pPr>
    <w:r>
      <w:t xml:space="preserve">This information is confidential and not to be shared.                       UPDATED       June 17,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4341" w14:textId="77777777" w:rsidR="00FF1B18" w:rsidRDefault="00AE246A">
    <w:pPr>
      <w:spacing w:after="0"/>
    </w:pPr>
    <w:r>
      <w:t xml:space="preserve"> </w:t>
    </w:r>
  </w:p>
  <w:p w14:paraId="1AA90396" w14:textId="77777777" w:rsidR="00FF1B18" w:rsidRDefault="00AE246A">
    <w:pPr>
      <w:spacing w:after="0"/>
    </w:pPr>
    <w:r>
      <w:t xml:space="preserve">This information is confidential and not to be shared.                       UPDATED       June 17, 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0F1F" w14:textId="77777777" w:rsidR="00FF1B18" w:rsidRDefault="00AE246A">
    <w:pPr>
      <w:spacing w:after="0"/>
    </w:pPr>
    <w:r>
      <w:t xml:space="preserve"> </w:t>
    </w:r>
  </w:p>
  <w:p w14:paraId="7170DD0B" w14:textId="77777777" w:rsidR="00FF1B18" w:rsidRDefault="00AE246A">
    <w:pPr>
      <w:spacing w:after="0"/>
    </w:pPr>
    <w:r>
      <w:t xml:space="preserve">This information is confidential and not to be shared.                       UPDATED       June 17,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5AB2" w14:textId="77777777" w:rsidR="00AE246A" w:rsidRDefault="00AE246A">
      <w:pPr>
        <w:spacing w:after="0" w:line="240" w:lineRule="auto"/>
      </w:pPr>
      <w:r>
        <w:separator/>
      </w:r>
    </w:p>
  </w:footnote>
  <w:footnote w:type="continuationSeparator" w:id="0">
    <w:p w14:paraId="527DB887" w14:textId="77777777" w:rsidR="00AE246A" w:rsidRDefault="00AE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CAF"/>
    <w:multiLevelType w:val="hybridMultilevel"/>
    <w:tmpl w:val="455066EE"/>
    <w:lvl w:ilvl="0" w:tplc="30404D28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49DD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A5A8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2358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F05BB2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E85A06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260AC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80E06C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83C38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18"/>
    <w:rsid w:val="003B0C85"/>
    <w:rsid w:val="00AE246A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6F21"/>
  <w15:docId w15:val="{6C995A1C-F05A-4B2C-AD89-2238204A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" w:right="562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li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r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martin</cp:lastModifiedBy>
  <cp:revision>2</cp:revision>
  <dcterms:created xsi:type="dcterms:W3CDTF">2019-10-04T15:47:00Z</dcterms:created>
  <dcterms:modified xsi:type="dcterms:W3CDTF">2019-10-04T15:47:00Z</dcterms:modified>
</cp:coreProperties>
</file>