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45F7" w14:textId="77777777" w:rsidR="00041405" w:rsidRDefault="00D908A3">
      <w:pPr>
        <w:tabs>
          <w:tab w:val="center" w:pos="1735"/>
          <w:tab w:val="center" w:pos="2881"/>
          <w:tab w:val="center" w:pos="5115"/>
        </w:tabs>
        <w:spacing w:after="254"/>
      </w:pPr>
      <w:r>
        <w:tab/>
      </w:r>
      <w:r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5B6A846F" wp14:editId="20676DB1">
            <wp:extent cx="1891411" cy="539115"/>
            <wp:effectExtent l="0" t="0" r="0" b="0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1411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BE6EDAC" w14:textId="77777777" w:rsidR="00041405" w:rsidRDefault="00D908A3">
      <w:pPr>
        <w:spacing w:after="227"/>
        <w:ind w:right="3283"/>
        <w:jc w:val="right"/>
      </w:pPr>
      <w:r>
        <w:rPr>
          <w:b/>
          <w:sz w:val="32"/>
          <w:shd w:val="clear" w:color="auto" w:fill="FFFF00"/>
        </w:rPr>
        <w:t>NET FARES Tour Code:  BD0203</w:t>
      </w:r>
      <w:r>
        <w:rPr>
          <w:b/>
          <w:sz w:val="32"/>
        </w:rPr>
        <w:t xml:space="preserve"> </w:t>
      </w:r>
    </w:p>
    <w:p w14:paraId="5538AA43" w14:textId="77777777" w:rsidR="00041405" w:rsidRDefault="00D908A3">
      <w:pPr>
        <w:spacing w:after="0"/>
        <w:ind w:left="131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1016" w:type="dxa"/>
        <w:tblInd w:w="-107" w:type="dxa"/>
        <w:tblCellMar>
          <w:top w:w="47" w:type="dxa"/>
          <w:left w:w="107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778"/>
        <w:gridCol w:w="4290"/>
        <w:gridCol w:w="1263"/>
        <w:gridCol w:w="1505"/>
        <w:gridCol w:w="1180"/>
      </w:tblGrid>
      <w:tr w:rsidR="00041405" w14:paraId="1C1AD286" w14:textId="77777777">
        <w:trPr>
          <w:trHeight w:val="546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79E8B0D1" w14:textId="77777777" w:rsidR="00041405" w:rsidRDefault="00D908A3">
            <w:pPr>
              <w:spacing w:after="0"/>
              <w:ind w:right="1212"/>
            </w:pPr>
            <w:r>
              <w:rPr>
                <w:b/>
              </w:rPr>
              <w:t>USA/Canada to Southwest Pacific and USA to Europe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Ticketing Period:  July 1, 2019 through June 30, 2020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ED43204" w14:textId="77777777" w:rsidR="00041405" w:rsidRDefault="00041405"/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D8FB977" w14:textId="77777777" w:rsidR="00041405" w:rsidRDefault="00041405"/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DCAE75D" w14:textId="77777777" w:rsidR="00041405" w:rsidRDefault="00041405"/>
        </w:tc>
      </w:tr>
      <w:tr w:rsidR="00041405" w14:paraId="5A74AF4F" w14:textId="77777777">
        <w:trPr>
          <w:trHeight w:val="5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0B1C58" w14:textId="77777777" w:rsidR="00041405" w:rsidRDefault="00D908A3">
            <w:pPr>
              <w:spacing w:after="0"/>
              <w:ind w:right="60"/>
              <w:jc w:val="center"/>
            </w:pPr>
            <w:r>
              <w:rPr>
                <w:b/>
              </w:rPr>
              <w:t xml:space="preserve">FROM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4B489D" w14:textId="77777777" w:rsidR="00041405" w:rsidRDefault="00D908A3">
            <w:pPr>
              <w:spacing w:after="0"/>
              <w:ind w:right="58"/>
              <w:jc w:val="center"/>
            </w:pPr>
            <w:r>
              <w:rPr>
                <w:b/>
              </w:rPr>
              <w:t xml:space="preserve">TO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02D976A" w14:textId="77777777" w:rsidR="00041405" w:rsidRDefault="00D908A3">
            <w:pPr>
              <w:spacing w:after="0"/>
              <w:ind w:right="60"/>
              <w:jc w:val="center"/>
            </w:pPr>
            <w:r>
              <w:rPr>
                <w:b/>
              </w:rPr>
              <w:t xml:space="preserve">CABIN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1671F6" w14:textId="77777777" w:rsidR="00041405" w:rsidRDefault="00D908A3">
            <w:pPr>
              <w:spacing w:after="0"/>
              <w:jc w:val="center"/>
            </w:pPr>
            <w:r>
              <w:rPr>
                <w:b/>
              </w:rPr>
              <w:t xml:space="preserve">BOOKING CLASS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1EA38A" w14:textId="77777777" w:rsidR="00041405" w:rsidRDefault="00D908A3">
            <w:pPr>
              <w:spacing w:after="0"/>
              <w:ind w:left="1"/>
              <w:jc w:val="both"/>
            </w:pPr>
            <w:r>
              <w:rPr>
                <w:b/>
              </w:rPr>
              <w:t xml:space="preserve">DISCOUNT </w:t>
            </w:r>
          </w:p>
        </w:tc>
      </w:tr>
      <w:tr w:rsidR="00041405" w14:paraId="0DBBF1AC" w14:textId="77777777">
        <w:trPr>
          <w:trHeight w:val="549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328" w14:textId="77777777" w:rsidR="00041405" w:rsidRDefault="00D908A3">
            <w:pPr>
              <w:spacing w:after="0"/>
              <w:ind w:right="12"/>
              <w:jc w:val="center"/>
            </w:pPr>
            <w:r>
              <w:rPr>
                <w:b/>
              </w:rPr>
              <w:t xml:space="preserve"> </w:t>
            </w:r>
          </w:p>
          <w:p w14:paraId="5DC6E03A" w14:textId="77777777" w:rsidR="00041405" w:rsidRDefault="00D908A3">
            <w:pPr>
              <w:spacing w:after="0"/>
              <w:ind w:right="12"/>
              <w:jc w:val="center"/>
            </w:pPr>
            <w:r>
              <w:rPr>
                <w:b/>
              </w:rPr>
              <w:t xml:space="preserve"> </w:t>
            </w:r>
          </w:p>
          <w:p w14:paraId="31950416" w14:textId="77777777" w:rsidR="00041405" w:rsidRDefault="00D908A3">
            <w:pPr>
              <w:spacing w:after="0"/>
              <w:ind w:right="12"/>
              <w:jc w:val="center"/>
            </w:pPr>
            <w:r>
              <w:rPr>
                <w:b/>
              </w:rPr>
              <w:t xml:space="preserve"> </w:t>
            </w:r>
          </w:p>
          <w:p w14:paraId="3CCA92DD" w14:textId="77777777" w:rsidR="00041405" w:rsidRDefault="00D908A3">
            <w:pPr>
              <w:spacing w:after="0"/>
              <w:ind w:right="64"/>
              <w:jc w:val="center"/>
            </w:pPr>
            <w:r>
              <w:rPr>
                <w:b/>
              </w:rPr>
              <w:t xml:space="preserve">USA </w:t>
            </w:r>
            <w:r>
              <w:t xml:space="preserve"> 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E14" w14:textId="77777777" w:rsidR="00041405" w:rsidRDefault="00D908A3">
            <w:pPr>
              <w:spacing w:after="0"/>
              <w:ind w:right="13"/>
              <w:jc w:val="center"/>
            </w:pPr>
            <w:r>
              <w:rPr>
                <w:b/>
              </w:rPr>
              <w:t xml:space="preserve"> </w:t>
            </w:r>
          </w:p>
          <w:p w14:paraId="03D01E49" w14:textId="77777777" w:rsidR="00041405" w:rsidRDefault="00D908A3">
            <w:pPr>
              <w:spacing w:after="0"/>
              <w:ind w:right="13"/>
              <w:jc w:val="center"/>
            </w:pPr>
            <w:r>
              <w:rPr>
                <w:b/>
              </w:rPr>
              <w:t xml:space="preserve"> </w:t>
            </w:r>
          </w:p>
          <w:p w14:paraId="622681E7" w14:textId="77777777" w:rsidR="00041405" w:rsidRDefault="00D908A3">
            <w:pPr>
              <w:spacing w:after="0"/>
              <w:ind w:right="13"/>
              <w:jc w:val="center"/>
            </w:pPr>
            <w:r>
              <w:rPr>
                <w:b/>
              </w:rPr>
              <w:t xml:space="preserve"> </w:t>
            </w:r>
          </w:p>
          <w:p w14:paraId="7A525B46" w14:textId="77777777" w:rsidR="00041405" w:rsidRDefault="00D908A3">
            <w:pPr>
              <w:spacing w:after="0"/>
              <w:ind w:right="61"/>
              <w:jc w:val="center"/>
            </w:pPr>
            <w:r>
              <w:rPr>
                <w:b/>
              </w:rPr>
              <w:t xml:space="preserve">New Zealand, Australia or Pacific Islands </w:t>
            </w:r>
          </w:p>
          <w:p w14:paraId="44847CE6" w14:textId="77777777" w:rsidR="00041405" w:rsidRDefault="00D908A3">
            <w:pPr>
              <w:spacing w:after="0"/>
              <w:ind w:right="13"/>
              <w:jc w:val="center"/>
            </w:pPr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4FC2" w14:textId="77777777" w:rsidR="00041405" w:rsidRDefault="00D908A3">
            <w:pPr>
              <w:spacing w:after="0"/>
              <w:jc w:val="center"/>
            </w:pPr>
            <w:r>
              <w:t xml:space="preserve">Business Premier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94E7" w14:textId="77777777" w:rsidR="00041405" w:rsidRDefault="00D908A3">
            <w:pPr>
              <w:spacing w:after="0"/>
              <w:ind w:right="61"/>
              <w:jc w:val="center"/>
            </w:pPr>
            <w:r>
              <w:t xml:space="preserve">C-, D-, Z-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2A12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16% </w:t>
            </w:r>
          </w:p>
        </w:tc>
      </w:tr>
      <w:tr w:rsidR="00041405" w14:paraId="29D0AEB0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31425" w14:textId="77777777" w:rsidR="00041405" w:rsidRDefault="000414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8C648" w14:textId="77777777" w:rsidR="00041405" w:rsidRDefault="0004140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6EED" w14:textId="77777777" w:rsidR="00041405" w:rsidRDefault="00D908A3">
            <w:pPr>
              <w:spacing w:after="0"/>
              <w:jc w:val="center"/>
            </w:pPr>
            <w:r>
              <w:t xml:space="preserve">Business Premier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71D6" w14:textId="77777777" w:rsidR="00041405" w:rsidRDefault="00D908A3">
            <w:pPr>
              <w:spacing w:after="0"/>
              <w:ind w:right="61"/>
              <w:jc w:val="center"/>
            </w:pPr>
            <w:r>
              <w:t xml:space="preserve">J-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DC43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14% </w:t>
            </w:r>
          </w:p>
        </w:tc>
      </w:tr>
      <w:tr w:rsidR="00041405" w14:paraId="203CD2C2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A6031" w14:textId="77777777" w:rsidR="00041405" w:rsidRDefault="000414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911DC" w14:textId="77777777" w:rsidR="00041405" w:rsidRDefault="0004140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31DD" w14:textId="77777777" w:rsidR="00041405" w:rsidRDefault="00D908A3">
            <w:pPr>
              <w:spacing w:after="0"/>
              <w:ind w:right="63"/>
              <w:jc w:val="center"/>
            </w:pPr>
            <w:r>
              <w:t xml:space="preserve">Premium </w:t>
            </w:r>
          </w:p>
          <w:p w14:paraId="2178B863" w14:textId="77777777" w:rsidR="00041405" w:rsidRDefault="00D908A3">
            <w:pPr>
              <w:spacing w:after="0"/>
              <w:ind w:left="112"/>
            </w:pPr>
            <w:r>
              <w:t xml:space="preserve">Economy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8449" w14:textId="77777777" w:rsidR="00041405" w:rsidRDefault="00D908A3">
            <w:pPr>
              <w:spacing w:after="0"/>
              <w:ind w:left="1"/>
            </w:pPr>
            <w:r>
              <w:t xml:space="preserve">U-, E-, O-, A-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A196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14% </w:t>
            </w:r>
          </w:p>
        </w:tc>
      </w:tr>
      <w:tr w:rsidR="00041405" w14:paraId="1CD23037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1918" w14:textId="77777777" w:rsidR="00041405" w:rsidRDefault="000414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58A" w14:textId="77777777" w:rsidR="00041405" w:rsidRDefault="0004140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AE1D" w14:textId="77777777" w:rsidR="00041405" w:rsidRDefault="00D908A3">
            <w:pPr>
              <w:spacing w:after="0"/>
              <w:ind w:right="10"/>
              <w:jc w:val="center"/>
            </w:pPr>
            <w:r>
              <w:t xml:space="preserve"> </w:t>
            </w:r>
          </w:p>
          <w:p w14:paraId="3544641B" w14:textId="77777777" w:rsidR="00041405" w:rsidRDefault="00D908A3">
            <w:pPr>
              <w:spacing w:after="0"/>
              <w:ind w:left="112"/>
            </w:pPr>
            <w:r>
              <w:t xml:space="preserve">Economy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23EC" w14:textId="77777777" w:rsidR="00041405" w:rsidRDefault="00D908A3">
            <w:pPr>
              <w:spacing w:after="0"/>
              <w:ind w:left="1"/>
            </w:pPr>
            <w:r>
              <w:t xml:space="preserve">Y-, B-, M-, H-, </w:t>
            </w:r>
          </w:p>
          <w:p w14:paraId="5B8BCC7B" w14:textId="77777777" w:rsidR="00041405" w:rsidRDefault="00D908A3">
            <w:pPr>
              <w:spacing w:after="0"/>
              <w:ind w:left="131" w:hanging="130"/>
            </w:pPr>
            <w:r>
              <w:t xml:space="preserve">Q-, V-, W-, T-,  L-, S-, G-, K-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69EB" w14:textId="77777777" w:rsidR="00041405" w:rsidRDefault="00D908A3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  <w:p w14:paraId="655C310A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14% </w:t>
            </w:r>
          </w:p>
        </w:tc>
      </w:tr>
      <w:tr w:rsidR="00041405" w14:paraId="255C7234" w14:textId="77777777">
        <w:trPr>
          <w:trHeight w:val="547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70D1" w14:textId="77777777" w:rsidR="00041405" w:rsidRDefault="00D908A3">
            <w:pPr>
              <w:spacing w:after="0"/>
              <w:ind w:right="12"/>
              <w:jc w:val="center"/>
            </w:pPr>
            <w:r>
              <w:t xml:space="preserve"> </w:t>
            </w:r>
          </w:p>
          <w:p w14:paraId="2E44DCAA" w14:textId="77777777" w:rsidR="00041405" w:rsidRDefault="00D908A3">
            <w:pPr>
              <w:spacing w:after="0"/>
              <w:ind w:right="12"/>
              <w:jc w:val="center"/>
            </w:pPr>
            <w:r>
              <w:t xml:space="preserve"> </w:t>
            </w:r>
          </w:p>
          <w:p w14:paraId="22D23E53" w14:textId="77777777" w:rsidR="00041405" w:rsidRDefault="00D908A3">
            <w:pPr>
              <w:spacing w:after="0"/>
              <w:ind w:right="12"/>
              <w:jc w:val="center"/>
            </w:pPr>
            <w:r>
              <w:t xml:space="preserve"> </w:t>
            </w:r>
          </w:p>
          <w:p w14:paraId="76ADC473" w14:textId="77777777" w:rsidR="00041405" w:rsidRDefault="00D908A3">
            <w:pPr>
              <w:spacing w:after="0"/>
              <w:ind w:right="12"/>
              <w:jc w:val="center"/>
            </w:pPr>
            <w:r>
              <w:t xml:space="preserve"> </w:t>
            </w:r>
          </w:p>
          <w:p w14:paraId="035668DE" w14:textId="77777777" w:rsidR="00041405" w:rsidRDefault="00D908A3">
            <w:pPr>
              <w:spacing w:after="0"/>
              <w:ind w:right="12"/>
              <w:jc w:val="center"/>
            </w:pPr>
            <w:r>
              <w:t xml:space="preserve"> </w:t>
            </w:r>
          </w:p>
          <w:p w14:paraId="2501AE25" w14:textId="77777777" w:rsidR="00041405" w:rsidRDefault="00D908A3">
            <w:pPr>
              <w:spacing w:after="0"/>
              <w:ind w:right="12"/>
              <w:jc w:val="center"/>
            </w:pPr>
            <w:r>
              <w:t xml:space="preserve"> </w:t>
            </w:r>
          </w:p>
          <w:p w14:paraId="4C827C56" w14:textId="77777777" w:rsidR="00041405" w:rsidRDefault="00D908A3">
            <w:pPr>
              <w:spacing w:after="0"/>
              <w:ind w:right="62"/>
              <w:jc w:val="center"/>
            </w:pPr>
            <w:r>
              <w:rPr>
                <w:b/>
              </w:rPr>
              <w:t xml:space="preserve">CANADA 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C03D" w14:textId="77777777" w:rsidR="00041405" w:rsidRDefault="00D908A3">
            <w:pPr>
              <w:spacing w:after="0"/>
              <w:ind w:right="13"/>
              <w:jc w:val="center"/>
            </w:pPr>
            <w:r>
              <w:t xml:space="preserve"> </w:t>
            </w:r>
          </w:p>
          <w:p w14:paraId="3023CB90" w14:textId="77777777" w:rsidR="00041405" w:rsidRDefault="00D908A3">
            <w:pPr>
              <w:spacing w:after="0"/>
              <w:ind w:right="13"/>
              <w:jc w:val="center"/>
            </w:pPr>
            <w:r>
              <w:t xml:space="preserve"> </w:t>
            </w:r>
          </w:p>
          <w:p w14:paraId="68452043" w14:textId="77777777" w:rsidR="00041405" w:rsidRDefault="00D908A3">
            <w:pPr>
              <w:spacing w:after="0"/>
              <w:ind w:right="13"/>
              <w:jc w:val="center"/>
            </w:pPr>
            <w:r>
              <w:t xml:space="preserve"> </w:t>
            </w:r>
          </w:p>
          <w:p w14:paraId="3EF39916" w14:textId="77777777" w:rsidR="00041405" w:rsidRDefault="00D908A3">
            <w:pPr>
              <w:spacing w:after="0"/>
              <w:ind w:right="65"/>
              <w:jc w:val="center"/>
            </w:pPr>
            <w:r>
              <w:rPr>
                <w:b/>
              </w:rPr>
              <w:t xml:space="preserve">New Zealand or Pacific Islands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A64E" w14:textId="77777777" w:rsidR="00041405" w:rsidRDefault="00D908A3">
            <w:pPr>
              <w:spacing w:after="0"/>
              <w:jc w:val="center"/>
            </w:pPr>
            <w:r>
              <w:t xml:space="preserve">Business Premier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B27D" w14:textId="77777777" w:rsidR="00041405" w:rsidRDefault="00D908A3">
            <w:pPr>
              <w:spacing w:after="0"/>
              <w:ind w:right="61"/>
              <w:jc w:val="center"/>
            </w:pPr>
            <w:r>
              <w:t xml:space="preserve">C-, D-, Z-, J-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2913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14% </w:t>
            </w:r>
          </w:p>
        </w:tc>
      </w:tr>
      <w:tr w:rsidR="00041405" w14:paraId="25977DB0" w14:textId="77777777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6067D" w14:textId="77777777" w:rsidR="00041405" w:rsidRDefault="000414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3D2D6" w14:textId="77777777" w:rsidR="00041405" w:rsidRDefault="0004140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505" w14:textId="77777777" w:rsidR="00041405" w:rsidRDefault="00D908A3">
            <w:pPr>
              <w:spacing w:after="0"/>
              <w:ind w:right="63"/>
              <w:jc w:val="center"/>
            </w:pPr>
            <w:r>
              <w:t xml:space="preserve">Premium </w:t>
            </w:r>
          </w:p>
          <w:p w14:paraId="4E652362" w14:textId="77777777" w:rsidR="00041405" w:rsidRDefault="00D908A3">
            <w:pPr>
              <w:spacing w:after="0"/>
              <w:ind w:left="112"/>
            </w:pPr>
            <w:r>
              <w:t xml:space="preserve">Economy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361A" w14:textId="77777777" w:rsidR="00041405" w:rsidRDefault="00D908A3">
            <w:pPr>
              <w:spacing w:after="0"/>
              <w:ind w:right="63"/>
              <w:jc w:val="center"/>
            </w:pPr>
            <w:r>
              <w:t xml:space="preserve">U-, E-, O- A-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291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12% </w:t>
            </w:r>
          </w:p>
        </w:tc>
      </w:tr>
      <w:tr w:rsidR="00041405" w14:paraId="0B96C14F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D89D3" w14:textId="77777777" w:rsidR="00041405" w:rsidRDefault="000414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4907" w14:textId="77777777" w:rsidR="00041405" w:rsidRDefault="0004140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887" w14:textId="77777777" w:rsidR="00041405" w:rsidRDefault="00D908A3">
            <w:pPr>
              <w:spacing w:after="0"/>
              <w:ind w:right="10"/>
              <w:jc w:val="center"/>
            </w:pPr>
            <w:r>
              <w:t xml:space="preserve"> </w:t>
            </w:r>
          </w:p>
          <w:p w14:paraId="6FCD8DF7" w14:textId="77777777" w:rsidR="00041405" w:rsidRDefault="00D908A3">
            <w:pPr>
              <w:spacing w:after="0"/>
              <w:ind w:left="112"/>
            </w:pPr>
            <w:r>
              <w:t xml:space="preserve">Economy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1E4A" w14:textId="77777777" w:rsidR="00041405" w:rsidRDefault="00D908A3">
            <w:pPr>
              <w:spacing w:after="0"/>
              <w:ind w:right="110"/>
              <w:jc w:val="right"/>
            </w:pPr>
            <w:r>
              <w:t xml:space="preserve">Y-, B-, M-, H-,  </w:t>
            </w:r>
          </w:p>
          <w:p w14:paraId="20B2C38B" w14:textId="77777777" w:rsidR="00041405" w:rsidRDefault="00D908A3">
            <w:pPr>
              <w:spacing w:after="0"/>
              <w:jc w:val="center"/>
            </w:pPr>
            <w:r>
              <w:t xml:space="preserve">Q-, V-, W-, T-,  L-, S-, G-, K-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69FD" w14:textId="77777777" w:rsidR="00041405" w:rsidRDefault="00D908A3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  <w:p w14:paraId="1562D51F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10% </w:t>
            </w:r>
          </w:p>
        </w:tc>
      </w:tr>
      <w:tr w:rsidR="00041405" w14:paraId="20FC2CE3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2AC45" w14:textId="77777777" w:rsidR="00041405" w:rsidRDefault="00041405"/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B239" w14:textId="77777777" w:rsidR="00041405" w:rsidRDefault="00D908A3">
            <w:pPr>
              <w:spacing w:after="0"/>
              <w:ind w:right="13"/>
              <w:jc w:val="center"/>
            </w:pPr>
            <w:r>
              <w:t xml:space="preserve"> </w:t>
            </w:r>
          </w:p>
          <w:p w14:paraId="111D28C6" w14:textId="77777777" w:rsidR="00041405" w:rsidRDefault="00D908A3">
            <w:pPr>
              <w:spacing w:after="0"/>
              <w:ind w:right="13"/>
              <w:jc w:val="center"/>
            </w:pPr>
            <w:r>
              <w:t xml:space="preserve"> </w:t>
            </w:r>
          </w:p>
          <w:p w14:paraId="26B1F558" w14:textId="77777777" w:rsidR="00041405" w:rsidRDefault="00D908A3">
            <w:pPr>
              <w:spacing w:after="0"/>
              <w:ind w:right="13"/>
              <w:jc w:val="center"/>
            </w:pPr>
            <w:r>
              <w:rPr>
                <w:b/>
              </w:rPr>
              <w:t xml:space="preserve"> </w:t>
            </w:r>
          </w:p>
          <w:p w14:paraId="141DFA67" w14:textId="77777777" w:rsidR="00041405" w:rsidRDefault="00D908A3">
            <w:pPr>
              <w:spacing w:after="0"/>
              <w:ind w:right="58"/>
              <w:jc w:val="center"/>
            </w:pPr>
            <w:r>
              <w:rPr>
                <w:b/>
              </w:rPr>
              <w:t>Australia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531" w14:textId="77777777" w:rsidR="00041405" w:rsidRDefault="00D908A3">
            <w:pPr>
              <w:spacing w:after="0"/>
              <w:jc w:val="center"/>
            </w:pPr>
            <w:r>
              <w:t xml:space="preserve">Business Premier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4659" w14:textId="77777777" w:rsidR="00041405" w:rsidRDefault="00D908A3">
            <w:pPr>
              <w:spacing w:after="0"/>
              <w:ind w:right="61"/>
              <w:jc w:val="center"/>
            </w:pPr>
            <w:r>
              <w:t xml:space="preserve">C-, D-, Z-, J-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8D3C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18% </w:t>
            </w:r>
          </w:p>
        </w:tc>
      </w:tr>
      <w:tr w:rsidR="00041405" w14:paraId="4E557FC9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2BE22" w14:textId="77777777" w:rsidR="00041405" w:rsidRDefault="000414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4E4A2" w14:textId="77777777" w:rsidR="00041405" w:rsidRDefault="0004140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33B" w14:textId="77777777" w:rsidR="00041405" w:rsidRDefault="00D908A3">
            <w:pPr>
              <w:spacing w:after="0"/>
              <w:ind w:right="63"/>
              <w:jc w:val="center"/>
            </w:pPr>
            <w:r>
              <w:t xml:space="preserve">Premium </w:t>
            </w:r>
          </w:p>
          <w:p w14:paraId="698CA2E2" w14:textId="77777777" w:rsidR="00041405" w:rsidRDefault="00D908A3">
            <w:pPr>
              <w:spacing w:after="0"/>
              <w:ind w:left="112"/>
            </w:pPr>
            <w:r>
              <w:t xml:space="preserve">Economy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97A2" w14:textId="77777777" w:rsidR="00041405" w:rsidRDefault="00D908A3">
            <w:pPr>
              <w:spacing w:after="0"/>
              <w:ind w:right="63"/>
              <w:jc w:val="center"/>
            </w:pPr>
            <w:r>
              <w:t xml:space="preserve">U-, E-, O- A-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1264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15% </w:t>
            </w:r>
          </w:p>
        </w:tc>
      </w:tr>
      <w:tr w:rsidR="00041405" w14:paraId="10C6115E" w14:textId="77777777">
        <w:trPr>
          <w:trHeight w:val="8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CCB" w14:textId="77777777" w:rsidR="00041405" w:rsidRDefault="000414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3B5E" w14:textId="77777777" w:rsidR="00041405" w:rsidRDefault="0004140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53E6" w14:textId="77777777" w:rsidR="00041405" w:rsidRDefault="00D908A3">
            <w:pPr>
              <w:spacing w:after="0"/>
              <w:ind w:right="10"/>
              <w:jc w:val="center"/>
            </w:pPr>
            <w:r>
              <w:t xml:space="preserve"> </w:t>
            </w:r>
          </w:p>
          <w:p w14:paraId="010874BA" w14:textId="77777777" w:rsidR="00041405" w:rsidRDefault="00D908A3">
            <w:pPr>
              <w:spacing w:after="0"/>
              <w:ind w:left="112"/>
            </w:pPr>
            <w:r>
              <w:t xml:space="preserve">Economy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B2B3" w14:textId="77777777" w:rsidR="00041405" w:rsidRDefault="00D908A3">
            <w:pPr>
              <w:spacing w:after="0"/>
              <w:ind w:right="110"/>
              <w:jc w:val="right"/>
            </w:pPr>
            <w:r>
              <w:t xml:space="preserve">Y-, B-, M-, H-,  </w:t>
            </w:r>
          </w:p>
          <w:p w14:paraId="173E6089" w14:textId="77777777" w:rsidR="00041405" w:rsidRDefault="00D908A3">
            <w:pPr>
              <w:spacing w:after="0"/>
              <w:jc w:val="center"/>
            </w:pPr>
            <w:r>
              <w:t xml:space="preserve">Q-, V-, W-, T-,  L-, S-, G-, K-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2F1A" w14:textId="77777777" w:rsidR="00041405" w:rsidRDefault="00D908A3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  <w:p w14:paraId="54BDCF49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12% </w:t>
            </w:r>
          </w:p>
        </w:tc>
      </w:tr>
      <w:tr w:rsidR="00041405" w14:paraId="3F436A03" w14:textId="77777777">
        <w:trPr>
          <w:trHeight w:val="547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0191" w14:textId="77777777" w:rsidR="00041405" w:rsidRDefault="00D908A3">
            <w:pPr>
              <w:spacing w:after="0"/>
              <w:ind w:right="12"/>
              <w:jc w:val="center"/>
            </w:pPr>
            <w:r>
              <w:rPr>
                <w:b/>
              </w:rPr>
              <w:t xml:space="preserve"> </w:t>
            </w:r>
          </w:p>
          <w:p w14:paraId="0469D6EB" w14:textId="77777777" w:rsidR="00041405" w:rsidRDefault="00D908A3">
            <w:pPr>
              <w:spacing w:after="0"/>
              <w:ind w:right="65"/>
              <w:jc w:val="center"/>
            </w:pPr>
            <w:r>
              <w:rPr>
                <w:b/>
              </w:rPr>
              <w:t xml:space="preserve">Los Angeles (LAX) or any </w:t>
            </w:r>
          </w:p>
          <w:p w14:paraId="6B66B489" w14:textId="77777777" w:rsidR="00041405" w:rsidRDefault="00D908A3">
            <w:pPr>
              <w:spacing w:after="0" w:line="239" w:lineRule="auto"/>
              <w:jc w:val="center"/>
            </w:pPr>
            <w:r>
              <w:rPr>
                <w:b/>
              </w:rPr>
              <w:t xml:space="preserve">North American gateway with published fares on Air </w:t>
            </w:r>
          </w:p>
          <w:p w14:paraId="5E28CA54" w14:textId="77777777" w:rsidR="00041405" w:rsidRDefault="00D908A3">
            <w:pPr>
              <w:spacing w:after="0"/>
              <w:ind w:right="59"/>
              <w:jc w:val="center"/>
            </w:pPr>
            <w:r>
              <w:rPr>
                <w:b/>
              </w:rPr>
              <w:t xml:space="preserve">NZ 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B58" w14:textId="77777777" w:rsidR="00041405" w:rsidRDefault="00D908A3">
            <w:pPr>
              <w:spacing w:after="0"/>
              <w:ind w:right="13"/>
              <w:jc w:val="center"/>
            </w:pPr>
            <w:r>
              <w:rPr>
                <w:b/>
              </w:rPr>
              <w:t xml:space="preserve"> </w:t>
            </w:r>
          </w:p>
          <w:p w14:paraId="7C79AF35" w14:textId="77777777" w:rsidR="00041405" w:rsidRDefault="00D908A3">
            <w:pPr>
              <w:spacing w:after="0"/>
              <w:ind w:left="40"/>
            </w:pPr>
            <w:r>
              <w:rPr>
                <w:b/>
              </w:rPr>
              <w:t xml:space="preserve">London (LHR) and those destinations within </w:t>
            </w:r>
          </w:p>
          <w:p w14:paraId="63438833" w14:textId="77777777" w:rsidR="00041405" w:rsidRDefault="00D908A3">
            <w:pPr>
              <w:spacing w:after="0" w:line="239" w:lineRule="auto"/>
              <w:jc w:val="center"/>
            </w:pPr>
            <w:r>
              <w:rPr>
                <w:b/>
              </w:rPr>
              <w:t xml:space="preserve">Europe, the Middle East, Africa, Central Asia and India with published through fares on </w:t>
            </w:r>
          </w:p>
          <w:p w14:paraId="30CD07C9" w14:textId="77777777" w:rsidR="00041405" w:rsidRDefault="00D908A3">
            <w:pPr>
              <w:spacing w:after="0"/>
              <w:ind w:right="61"/>
              <w:jc w:val="center"/>
            </w:pPr>
            <w:r>
              <w:rPr>
                <w:b/>
              </w:rPr>
              <w:t xml:space="preserve">Air NZ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7C24" w14:textId="77777777" w:rsidR="00041405" w:rsidRDefault="00D908A3">
            <w:pPr>
              <w:spacing w:after="0"/>
              <w:jc w:val="center"/>
            </w:pPr>
            <w:r>
              <w:t xml:space="preserve">Business Premier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4DEA" w14:textId="77777777" w:rsidR="00041405" w:rsidRDefault="00D908A3">
            <w:pPr>
              <w:spacing w:after="0"/>
              <w:ind w:right="61"/>
              <w:jc w:val="center"/>
            </w:pPr>
            <w:r>
              <w:t xml:space="preserve">C-, D-, Z-, J-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E5DE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12% </w:t>
            </w:r>
          </w:p>
        </w:tc>
      </w:tr>
      <w:tr w:rsidR="00041405" w14:paraId="65C8C495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6D24E" w14:textId="77777777" w:rsidR="00041405" w:rsidRDefault="000414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EAC4F" w14:textId="77777777" w:rsidR="00041405" w:rsidRDefault="0004140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58D3" w14:textId="77777777" w:rsidR="00041405" w:rsidRDefault="00D908A3">
            <w:pPr>
              <w:spacing w:after="0"/>
              <w:ind w:right="63"/>
              <w:jc w:val="center"/>
            </w:pPr>
            <w:r>
              <w:t xml:space="preserve">Premium </w:t>
            </w:r>
          </w:p>
          <w:p w14:paraId="6BCD4F85" w14:textId="77777777" w:rsidR="00041405" w:rsidRDefault="00D908A3">
            <w:pPr>
              <w:spacing w:after="0"/>
              <w:ind w:left="112"/>
            </w:pPr>
            <w:r>
              <w:t xml:space="preserve">Economy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9C59" w14:textId="77777777" w:rsidR="00041405" w:rsidRDefault="00D908A3">
            <w:pPr>
              <w:spacing w:after="0"/>
              <w:ind w:right="63"/>
              <w:jc w:val="center"/>
            </w:pPr>
            <w:r>
              <w:t xml:space="preserve">U-, E-, O- A-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E611" w14:textId="77777777" w:rsidR="00041405" w:rsidRDefault="00D908A3">
            <w:pPr>
              <w:spacing w:after="0"/>
              <w:ind w:right="57"/>
              <w:jc w:val="center"/>
            </w:pPr>
            <w:r>
              <w:rPr>
                <w:b/>
              </w:rPr>
              <w:t xml:space="preserve">11% </w:t>
            </w:r>
          </w:p>
        </w:tc>
      </w:tr>
      <w:tr w:rsidR="00041405" w14:paraId="3F640C56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80FD" w14:textId="77777777" w:rsidR="00041405" w:rsidRDefault="000414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4EB1" w14:textId="77777777" w:rsidR="00041405" w:rsidRDefault="0004140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B89" w14:textId="77777777" w:rsidR="00041405" w:rsidRDefault="00D908A3">
            <w:pPr>
              <w:spacing w:after="0"/>
              <w:ind w:right="10"/>
              <w:jc w:val="center"/>
            </w:pPr>
            <w:r>
              <w:t xml:space="preserve"> </w:t>
            </w:r>
          </w:p>
          <w:p w14:paraId="7A71E2A8" w14:textId="77777777" w:rsidR="00041405" w:rsidRDefault="00D908A3">
            <w:pPr>
              <w:spacing w:after="0"/>
              <w:ind w:left="112"/>
            </w:pPr>
            <w:r>
              <w:t xml:space="preserve">Economy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4C07" w14:textId="77777777" w:rsidR="00041405" w:rsidRDefault="00D908A3">
            <w:pPr>
              <w:spacing w:after="0"/>
              <w:ind w:right="110"/>
              <w:jc w:val="right"/>
            </w:pPr>
            <w:r>
              <w:t xml:space="preserve">Y-, B-, M-, H-,  </w:t>
            </w:r>
          </w:p>
          <w:p w14:paraId="789E9243" w14:textId="77777777" w:rsidR="00041405" w:rsidRDefault="00D908A3">
            <w:pPr>
              <w:spacing w:after="0"/>
              <w:jc w:val="center"/>
            </w:pPr>
            <w:r>
              <w:t>Q-</w:t>
            </w:r>
            <w:r>
              <w:t xml:space="preserve">, V-, W-, T-,  L-, S-, G-, K-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1FEE" w14:textId="77777777" w:rsidR="00041405" w:rsidRDefault="00D908A3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  <w:p w14:paraId="13FBD697" w14:textId="77777777" w:rsidR="00041405" w:rsidRDefault="00D908A3">
            <w:pPr>
              <w:spacing w:after="0"/>
              <w:ind w:right="59"/>
              <w:jc w:val="center"/>
            </w:pPr>
            <w:r>
              <w:rPr>
                <w:b/>
              </w:rPr>
              <w:t xml:space="preserve">9% </w:t>
            </w:r>
          </w:p>
        </w:tc>
      </w:tr>
    </w:tbl>
    <w:p w14:paraId="7C3A22E5" w14:textId="77777777" w:rsidR="00041405" w:rsidRDefault="00D908A3">
      <w:pPr>
        <w:spacing w:after="0"/>
      </w:pPr>
      <w:r>
        <w:t xml:space="preserve"> </w:t>
      </w:r>
    </w:p>
    <w:p w14:paraId="5D599B5C" w14:textId="77777777" w:rsidR="00041405" w:rsidRDefault="00D908A3">
      <w:pPr>
        <w:spacing w:after="0"/>
      </w:pPr>
      <w:r>
        <w:lastRenderedPageBreak/>
        <w:t xml:space="preserve"> </w:t>
      </w:r>
      <w:r>
        <w:tab/>
        <w:t xml:space="preserve"> </w:t>
      </w:r>
    </w:p>
    <w:p w14:paraId="51A9EF1D" w14:textId="77777777" w:rsidR="00041405" w:rsidRDefault="00D908A3">
      <w:pPr>
        <w:spacing w:after="0"/>
      </w:pPr>
      <w:r>
        <w:t xml:space="preserve"> </w:t>
      </w:r>
    </w:p>
    <w:tbl>
      <w:tblPr>
        <w:tblStyle w:val="TableGrid"/>
        <w:tblW w:w="11016" w:type="dxa"/>
        <w:tblInd w:w="-107" w:type="dxa"/>
        <w:tblCellMar>
          <w:top w:w="46" w:type="dxa"/>
          <w:left w:w="107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370"/>
        <w:gridCol w:w="8646"/>
      </w:tblGrid>
      <w:tr w:rsidR="00041405" w14:paraId="638EDB12" w14:textId="77777777">
        <w:trPr>
          <w:trHeight w:val="276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70B71" w14:textId="77777777" w:rsidR="00041405" w:rsidRDefault="00D908A3">
            <w:pPr>
              <w:spacing w:after="0"/>
            </w:pPr>
            <w:r>
              <w:rPr>
                <w:b/>
              </w:rPr>
              <w:t xml:space="preserve">NET FARE RULES </w:t>
            </w:r>
          </w:p>
        </w:tc>
      </w:tr>
      <w:tr w:rsidR="00041405" w14:paraId="4CFBAA3F" w14:textId="77777777">
        <w:trPr>
          <w:trHeight w:val="5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2677" w14:textId="77777777" w:rsidR="00041405" w:rsidRDefault="00D908A3">
            <w:pPr>
              <w:spacing w:after="0"/>
              <w:ind w:right="186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Tour Code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96C5" w14:textId="77777777" w:rsidR="00041405" w:rsidRDefault="00D908A3">
            <w:pPr>
              <w:spacing w:after="0"/>
              <w:ind w:left="1"/>
            </w:pPr>
            <w:r>
              <w:rPr>
                <w:b/>
              </w:rPr>
              <w:t xml:space="preserve">BD0203 </w:t>
            </w:r>
          </w:p>
          <w:p w14:paraId="7FA3E100" w14:textId="77777777" w:rsidR="00041405" w:rsidRDefault="00D908A3">
            <w:pPr>
              <w:spacing w:after="0"/>
              <w:ind w:left="1"/>
            </w:pPr>
            <w:r>
              <w:t xml:space="preserve">(the tour code field will be automatically populated with the appropriate tour code) </w:t>
            </w:r>
          </w:p>
        </w:tc>
      </w:tr>
      <w:tr w:rsidR="00041405" w14:paraId="7EE61E3E" w14:textId="77777777">
        <w:trPr>
          <w:trHeight w:val="27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66E" w14:textId="77777777" w:rsidR="00041405" w:rsidRDefault="00D908A3">
            <w:pPr>
              <w:spacing w:after="0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Ticketing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981B" w14:textId="77777777" w:rsidR="00041405" w:rsidRDefault="00D908A3">
            <w:pPr>
              <w:spacing w:after="0"/>
              <w:ind w:left="1"/>
            </w:pPr>
            <w:r>
              <w:t xml:space="preserve">Ticketing must be validate on Air New Zealand (086) stock </w:t>
            </w:r>
          </w:p>
        </w:tc>
      </w:tr>
      <w:tr w:rsidR="00041405" w14:paraId="1D887D6F" w14:textId="77777777">
        <w:trPr>
          <w:trHeight w:val="13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39F1" w14:textId="77777777" w:rsidR="00041405" w:rsidRDefault="00D908A3">
            <w:pPr>
              <w:spacing w:after="0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Fare Basis Code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B17D" w14:textId="77777777" w:rsidR="00041405" w:rsidRDefault="00D908A3">
            <w:pPr>
              <w:spacing w:after="0" w:line="239" w:lineRule="auto"/>
              <w:ind w:left="1"/>
            </w:pPr>
            <w:r>
              <w:t xml:space="preserve">These Net Fares will reflect in your GDS system with the same fare basis code as the Published Fare plus the ticket designator </w:t>
            </w:r>
            <w:r>
              <w:rPr>
                <w:b/>
              </w:rPr>
              <w:t>VN</w:t>
            </w:r>
            <w:r>
              <w:t>, separated from the fare basis code by a slash</w:t>
            </w:r>
            <w:r>
              <w:t xml:space="preserve"> (“/”.  </w:t>
            </w:r>
          </w:p>
          <w:p w14:paraId="6A0FC134" w14:textId="77777777" w:rsidR="00041405" w:rsidRDefault="00D908A3">
            <w:pPr>
              <w:spacing w:after="0"/>
              <w:ind w:left="1"/>
            </w:pPr>
            <w:r>
              <w:t xml:space="preserve">Example: </w:t>
            </w:r>
          </w:p>
          <w:p w14:paraId="7973DBF4" w14:textId="77777777" w:rsidR="00041405" w:rsidRDefault="00D908A3">
            <w:pPr>
              <w:spacing w:after="0"/>
              <w:ind w:left="1"/>
            </w:pPr>
            <w:r>
              <w:t xml:space="preserve">Fare basis code for published fare:                   SXA5,        KN4,        KN7O </w:t>
            </w:r>
          </w:p>
          <w:p w14:paraId="6CCA0757" w14:textId="77777777" w:rsidR="00041405" w:rsidRDefault="00D908A3">
            <w:pPr>
              <w:spacing w:after="0"/>
              <w:ind w:left="1"/>
            </w:pPr>
            <w:r>
              <w:t xml:space="preserve">Fare basis code for net fare version of fares:  SXA5/VN, KN4/VN, KN7O/VN </w:t>
            </w:r>
          </w:p>
        </w:tc>
      </w:tr>
      <w:tr w:rsidR="00041405" w14:paraId="07910864" w14:textId="77777777">
        <w:trPr>
          <w:trHeight w:val="278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C34C" w14:textId="77777777" w:rsidR="00041405" w:rsidRDefault="00D908A3">
            <w:pPr>
              <w:spacing w:after="0"/>
            </w:pPr>
            <w:r>
              <w:rPr>
                <w:b/>
              </w:rPr>
              <w:t xml:space="preserve">All other rules and conditions of the sale of Published Fares shall apply </w:t>
            </w:r>
          </w:p>
        </w:tc>
      </w:tr>
    </w:tbl>
    <w:p w14:paraId="61FB8645" w14:textId="77777777" w:rsidR="00041405" w:rsidRDefault="00D908A3">
      <w:pPr>
        <w:spacing w:after="0"/>
      </w:pPr>
      <w:r>
        <w:t xml:space="preserve"> </w:t>
      </w:r>
    </w:p>
    <w:tbl>
      <w:tblPr>
        <w:tblStyle w:val="TableGrid"/>
        <w:tblW w:w="10298" w:type="dxa"/>
        <w:tblInd w:w="612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0"/>
        <w:gridCol w:w="7758"/>
      </w:tblGrid>
      <w:tr w:rsidR="00041405" w14:paraId="76F0033B" w14:textId="77777777">
        <w:trPr>
          <w:trHeight w:val="188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E9C6" w14:textId="77777777" w:rsidR="00041405" w:rsidRDefault="00D908A3">
            <w:pPr>
              <w:spacing w:after="0"/>
              <w:ind w:left="2"/>
            </w:pPr>
            <w:r>
              <w:rPr>
                <w:b/>
              </w:rPr>
              <w:t xml:space="preserve">Ancillary Products: </w:t>
            </w:r>
          </w:p>
          <w:p w14:paraId="7FC70933" w14:textId="77777777" w:rsidR="00041405" w:rsidRDefault="00D908A3">
            <w:pPr>
              <w:spacing w:after="0"/>
              <w:ind w:left="2"/>
            </w:pPr>
            <w:r>
              <w:t xml:space="preserve">Economy Skycouch </w:t>
            </w:r>
          </w:p>
          <w:p w14:paraId="11B8D32E" w14:textId="77777777" w:rsidR="00041405" w:rsidRDefault="00D908A3">
            <w:pPr>
              <w:spacing w:after="0"/>
              <w:ind w:left="2"/>
            </w:pPr>
            <w:r>
              <w:t xml:space="preserve">Pre-paid bags </w:t>
            </w:r>
          </w:p>
          <w:p w14:paraId="7A8A43AE" w14:textId="77777777" w:rsidR="00041405" w:rsidRDefault="00D908A3">
            <w:pPr>
              <w:spacing w:after="0"/>
              <w:ind w:left="2"/>
            </w:pPr>
            <w:r>
              <w:t xml:space="preserve">Pre-paid seats </w:t>
            </w:r>
          </w:p>
          <w:p w14:paraId="25535E5A" w14:textId="77777777" w:rsidR="00041405" w:rsidRDefault="00D908A3">
            <w:pPr>
              <w:spacing w:after="0"/>
              <w:ind w:left="2"/>
            </w:pPr>
            <w:r>
              <w:t xml:space="preserve">Unaccompanied minors </w:t>
            </w:r>
          </w:p>
          <w:p w14:paraId="0A576B28" w14:textId="77777777" w:rsidR="00041405" w:rsidRDefault="00D908A3">
            <w:pPr>
              <w:spacing w:after="0"/>
              <w:ind w:left="2"/>
            </w:pPr>
            <w:r>
              <w:t xml:space="preserve">(UM) fees </w:t>
            </w:r>
          </w:p>
          <w:p w14:paraId="56B68372" w14:textId="77777777" w:rsidR="00041405" w:rsidRDefault="00D908A3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82CF" w14:textId="77777777" w:rsidR="00041405" w:rsidRDefault="00D908A3">
            <w:pPr>
              <w:spacing w:after="0"/>
            </w:pPr>
            <w:r>
              <w:t xml:space="preserve">Ancillary Products issued on Electronic Miscellaneous Document (EMD) remitted through ARC or BSP will be eligible for the same commission/discount level associated with the ticket. </w:t>
            </w:r>
          </w:p>
        </w:tc>
      </w:tr>
    </w:tbl>
    <w:p w14:paraId="70B8EBF0" w14:textId="77777777" w:rsidR="00041405" w:rsidRDefault="00D908A3">
      <w:pPr>
        <w:spacing w:after="5" w:line="249" w:lineRule="auto"/>
        <w:ind w:left="2155" w:hanging="2170"/>
      </w:pPr>
      <w:r>
        <w:rPr>
          <w:b/>
        </w:rPr>
        <w:t>Important Net Rules:</w:t>
      </w:r>
      <w:r>
        <w:t xml:space="preserve"> </w:t>
      </w:r>
      <w:r>
        <w:tab/>
        <w:t xml:space="preserve">These Net Fares are </w:t>
      </w:r>
      <w:r>
        <w:rPr>
          <w:b/>
        </w:rPr>
        <w:t>NON-commissionable</w:t>
      </w:r>
      <w:r>
        <w:t>, since the c</w:t>
      </w:r>
      <w:r>
        <w:t xml:space="preserve">ommission has already been applied to discount the Published Fare level down to a net level.  However, you are able to add a Markup and/or Agency Service Fee. </w:t>
      </w:r>
    </w:p>
    <w:p w14:paraId="0140399F" w14:textId="77777777" w:rsidR="00041405" w:rsidRDefault="00D908A3">
      <w:pPr>
        <w:spacing w:after="0"/>
      </w:pPr>
      <w:r>
        <w:t xml:space="preserve"> </w:t>
      </w:r>
      <w:r>
        <w:tab/>
        <w:t xml:space="preserve"> </w:t>
      </w:r>
    </w:p>
    <w:p w14:paraId="17EF3DBD" w14:textId="77777777" w:rsidR="00041405" w:rsidRDefault="00D908A3">
      <w:pPr>
        <w:tabs>
          <w:tab w:val="center" w:pos="720"/>
          <w:tab w:val="center" w:pos="1440"/>
          <w:tab w:val="center" w:pos="6250"/>
        </w:tabs>
        <w:spacing w:after="5" w:line="24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Agents are able to sell tickets at the Net Fare Level, which means no revenue to the a</w:t>
      </w:r>
      <w:r>
        <w:t xml:space="preserve">gency. </w:t>
      </w:r>
    </w:p>
    <w:p w14:paraId="50203F3F" w14:textId="77777777" w:rsidR="00041405" w:rsidRDefault="00D908A3">
      <w:pPr>
        <w:spacing w:after="5" w:line="249" w:lineRule="auto"/>
        <w:ind w:left="2155" w:hanging="217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Agents can mark-up to match published fare level; however, you cannot mark-up above the  published fare level.  You will receive a GDS error. </w:t>
      </w:r>
    </w:p>
    <w:p w14:paraId="00273316" w14:textId="77777777" w:rsidR="00041405" w:rsidRDefault="00D908A3">
      <w:pPr>
        <w:spacing w:after="0"/>
      </w:pPr>
      <w:r>
        <w:t xml:space="preserve"> </w:t>
      </w:r>
      <w:r>
        <w:tab/>
        <w:t xml:space="preserve"> </w:t>
      </w:r>
    </w:p>
    <w:p w14:paraId="7ADF9108" w14:textId="77777777" w:rsidR="00041405" w:rsidRDefault="00D908A3">
      <w:pPr>
        <w:spacing w:after="5" w:line="249" w:lineRule="auto"/>
        <w:ind w:left="2155" w:hanging="2170"/>
      </w:pPr>
      <w:r>
        <w:rPr>
          <w:b/>
        </w:rPr>
        <w:t>GDS entries:</w:t>
      </w:r>
      <w:r>
        <w:t xml:space="preserve"> </w:t>
      </w:r>
      <w:r>
        <w:tab/>
        <w:t xml:space="preserve">These net fares are filed with a </w:t>
      </w:r>
      <w:r>
        <w:rPr>
          <w:b/>
        </w:rPr>
        <w:t xml:space="preserve">JCB for Sabre </w:t>
      </w:r>
      <w:r>
        <w:t xml:space="preserve">and </w:t>
      </w:r>
      <w:r>
        <w:rPr>
          <w:b/>
        </w:rPr>
        <w:t>ADT for Amadeus, Apollo, World</w:t>
      </w:r>
      <w:r>
        <w:rPr>
          <w:b/>
        </w:rPr>
        <w:t xml:space="preserve">span </w:t>
      </w:r>
      <w:r>
        <w:t xml:space="preserve">and are displayed and auto-priced with the following entries: </w:t>
      </w:r>
    </w:p>
    <w:p w14:paraId="6DCBC908" w14:textId="77777777" w:rsidR="00041405" w:rsidRDefault="00D908A3">
      <w:pPr>
        <w:spacing w:after="0"/>
      </w:pPr>
      <w:r>
        <w:t xml:space="preserve"> </w:t>
      </w:r>
    </w:p>
    <w:tbl>
      <w:tblPr>
        <w:tblStyle w:val="TableGrid"/>
        <w:tblW w:w="6446" w:type="dxa"/>
        <w:tblInd w:w="2052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282"/>
        <w:gridCol w:w="3714"/>
        <w:gridCol w:w="1450"/>
      </w:tblGrid>
      <w:tr w:rsidR="00041405" w14:paraId="6DBD4CEE" w14:textId="77777777">
        <w:trPr>
          <w:trHeight w:val="30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1A23" w14:textId="77777777" w:rsidR="00041405" w:rsidRDefault="00D908A3">
            <w:pPr>
              <w:spacing w:after="0"/>
            </w:pPr>
            <w:r>
              <w:rPr>
                <w:b/>
                <w:sz w:val="24"/>
              </w:rPr>
              <w:t xml:space="preserve">GDS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8FA7" w14:textId="77777777" w:rsidR="00041405" w:rsidRDefault="00D908A3">
            <w:pPr>
              <w:spacing w:after="0"/>
            </w:pPr>
            <w:r>
              <w:rPr>
                <w:b/>
                <w:sz w:val="24"/>
              </w:rPr>
              <w:t xml:space="preserve">Fare Display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276" w14:textId="77777777" w:rsidR="00041405" w:rsidRDefault="00D908A3">
            <w:pPr>
              <w:spacing w:after="0"/>
            </w:pPr>
            <w:r>
              <w:rPr>
                <w:b/>
                <w:sz w:val="24"/>
              </w:rPr>
              <w:t xml:space="preserve">Auto-Pricing </w:t>
            </w:r>
          </w:p>
        </w:tc>
      </w:tr>
      <w:tr w:rsidR="00041405" w14:paraId="01CAB4B7" w14:textId="77777777">
        <w:trPr>
          <w:trHeight w:val="59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2E3D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Sabre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A3AA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FQLAXSYD12NOV-NZ#PJCB or FQLAXSYD12NOVCB-NZ#PV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1DE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WPPJCB </w:t>
            </w:r>
          </w:p>
        </w:tc>
      </w:tr>
      <w:tr w:rsidR="00041405" w14:paraId="6D700669" w14:textId="77777777">
        <w:trPr>
          <w:trHeight w:val="30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7366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Apollo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F341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$DLAXSYD12NOV*NZ:P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E9B0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$B:P </w:t>
            </w:r>
          </w:p>
        </w:tc>
      </w:tr>
      <w:tr w:rsidR="00041405" w14:paraId="00519420" w14:textId="77777777">
        <w:trPr>
          <w:trHeight w:val="30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E58C" w14:textId="77777777" w:rsidR="00041405" w:rsidRDefault="00D908A3">
            <w:pPr>
              <w:spacing w:after="0"/>
              <w:jc w:val="both"/>
            </w:pPr>
            <w:r>
              <w:rPr>
                <w:sz w:val="24"/>
              </w:rPr>
              <w:t xml:space="preserve">Worldspan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325B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4FLAXSYD12NOVSR-NZ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A8B3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4PFSR.SR </w:t>
            </w:r>
          </w:p>
        </w:tc>
      </w:tr>
      <w:tr w:rsidR="00041405" w14:paraId="4F268CEF" w14:textId="77777777">
        <w:trPr>
          <w:trHeight w:val="30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52D6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Amadeus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2F5" w14:textId="77777777" w:rsidR="00041405" w:rsidRPr="008326C0" w:rsidRDefault="00D908A3">
            <w:pPr>
              <w:spacing w:after="0"/>
              <w:jc w:val="both"/>
              <w:rPr>
                <w:lang w:val="es-ES"/>
              </w:rPr>
            </w:pPr>
            <w:r w:rsidRPr="008326C0">
              <w:rPr>
                <w:sz w:val="24"/>
                <w:lang w:val="es-ES"/>
              </w:rPr>
              <w:t xml:space="preserve">FQDLAXSYD/ANZ/D12NOV/R,-JCB,U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59B8" w14:textId="77777777" w:rsidR="00041405" w:rsidRDefault="00D908A3">
            <w:pPr>
              <w:spacing w:after="0"/>
            </w:pPr>
            <w:r>
              <w:rPr>
                <w:sz w:val="24"/>
              </w:rPr>
              <w:t xml:space="preserve">FXX/R,U </w:t>
            </w:r>
          </w:p>
        </w:tc>
      </w:tr>
    </w:tbl>
    <w:p w14:paraId="14F9834B" w14:textId="77777777" w:rsidR="00041405" w:rsidRDefault="00D908A3">
      <w:pPr>
        <w:spacing w:after="24"/>
      </w:pPr>
      <w:r>
        <w:t xml:space="preserve"> </w:t>
      </w:r>
    </w:p>
    <w:p w14:paraId="432E9F40" w14:textId="77777777" w:rsidR="00041405" w:rsidRDefault="00D908A3">
      <w:pPr>
        <w:numPr>
          <w:ilvl w:val="0"/>
          <w:numId w:val="1"/>
        </w:numPr>
        <w:spacing w:after="37" w:line="249" w:lineRule="auto"/>
        <w:ind w:hanging="360"/>
      </w:pPr>
      <w:r>
        <w:t xml:space="preserve">Agencies utilizing this agreement agree to reconcile all Agency Debit Memos (ADM’s) </w:t>
      </w:r>
      <w:r>
        <w:t xml:space="preserve">received from Air New Zealand within thirty (30) days of billing or notification.  </w:t>
      </w:r>
    </w:p>
    <w:p w14:paraId="6EA02D45" w14:textId="77777777" w:rsidR="00041405" w:rsidRDefault="00D908A3">
      <w:pPr>
        <w:numPr>
          <w:ilvl w:val="0"/>
          <w:numId w:val="1"/>
        </w:numPr>
        <w:spacing w:after="35" w:line="249" w:lineRule="auto"/>
        <w:ind w:hanging="360"/>
      </w:pPr>
      <w:r>
        <w:t xml:space="preserve">Agencies utilizing this agreement are responsible for cancelling any bookings that have been made as soon as it becomes aware that it is no longer required.  Bookings that </w:t>
      </w:r>
      <w:r>
        <w:t xml:space="preserve">are not ticketed and which result in no-shows will </w:t>
      </w:r>
      <w:r>
        <w:lastRenderedPageBreak/>
        <w:t xml:space="preserve">incur a $150 ADM per occurrence.  This amount may be increased or otherwise varied for specific routes, or in specific seasons. </w:t>
      </w:r>
    </w:p>
    <w:p w14:paraId="11F593CD" w14:textId="77777777" w:rsidR="00041405" w:rsidRDefault="00D908A3">
      <w:pPr>
        <w:numPr>
          <w:ilvl w:val="0"/>
          <w:numId w:val="1"/>
        </w:numPr>
        <w:spacing w:after="5" w:line="249" w:lineRule="auto"/>
        <w:ind w:hanging="360"/>
      </w:pPr>
      <w:r>
        <w:t>NZ Codeshare Disclosure – In the US and Canada, agents must advise their cli</w:t>
      </w:r>
      <w:r>
        <w:t xml:space="preserve">ents of any codeshare services before they make their booking commitment.  This applies to both domestic and international services.  Agents utilizing this agreement agree to comply with these applicable regulations.  </w:t>
      </w:r>
    </w:p>
    <w:p w14:paraId="1533C9F6" w14:textId="77777777" w:rsidR="00041405" w:rsidRDefault="00D908A3">
      <w:pPr>
        <w:spacing w:after="0"/>
      </w:pPr>
      <w:r>
        <w:t xml:space="preserve"> </w:t>
      </w:r>
    </w:p>
    <w:p w14:paraId="7ED79577" w14:textId="77777777" w:rsidR="00041405" w:rsidRDefault="00D908A3">
      <w:pPr>
        <w:spacing w:after="7"/>
        <w:ind w:left="720"/>
      </w:pPr>
      <w:r>
        <w:t xml:space="preserve"> </w:t>
      </w:r>
      <w:bookmarkStart w:id="0" w:name="_GoBack"/>
      <w:bookmarkEnd w:id="0"/>
    </w:p>
    <w:sectPr w:rsidR="00041405">
      <w:footerReference w:type="even" r:id="rId8"/>
      <w:footerReference w:type="default" r:id="rId9"/>
      <w:footerReference w:type="first" r:id="rId10"/>
      <w:pgSz w:w="12240" w:h="15840"/>
      <w:pgMar w:top="720" w:right="776" w:bottom="1906" w:left="72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669F" w14:textId="77777777" w:rsidR="00D908A3" w:rsidRDefault="00D908A3">
      <w:pPr>
        <w:spacing w:after="0" w:line="240" w:lineRule="auto"/>
      </w:pPr>
      <w:r>
        <w:separator/>
      </w:r>
    </w:p>
  </w:endnote>
  <w:endnote w:type="continuationSeparator" w:id="0">
    <w:p w14:paraId="2EAE30D0" w14:textId="77777777" w:rsidR="00D908A3" w:rsidRDefault="00D9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FBB8" w14:textId="77777777" w:rsidR="00041405" w:rsidRDefault="00D908A3">
    <w:pPr>
      <w:spacing w:after="0"/>
    </w:pPr>
    <w:r>
      <w:t xml:space="preserve"> </w:t>
    </w:r>
  </w:p>
  <w:p w14:paraId="322CB3A9" w14:textId="77777777" w:rsidR="00041405" w:rsidRDefault="00D908A3">
    <w:pPr>
      <w:spacing w:after="0"/>
    </w:pPr>
    <w:r>
      <w:t xml:space="preserve">This information is confidential and not to be shared.                                         Updated              7/25/2019 </w:t>
    </w:r>
  </w:p>
  <w:p w14:paraId="77F530EF" w14:textId="77777777" w:rsidR="00041405" w:rsidRDefault="00D908A3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A8F2" w14:textId="77777777" w:rsidR="00041405" w:rsidRDefault="00D908A3">
    <w:pPr>
      <w:spacing w:after="0"/>
    </w:pPr>
    <w:r>
      <w:t xml:space="preserve"> </w:t>
    </w:r>
  </w:p>
  <w:p w14:paraId="0B221798" w14:textId="77777777" w:rsidR="00041405" w:rsidRDefault="00D908A3">
    <w:pPr>
      <w:spacing w:after="0"/>
    </w:pPr>
    <w:r>
      <w:t>This information is confidential and not to be shared.                                         Updated              7/25/2019</w:t>
    </w:r>
    <w:r>
      <w:t xml:space="preserve"> </w:t>
    </w:r>
  </w:p>
  <w:p w14:paraId="35EFE73B" w14:textId="77777777" w:rsidR="00041405" w:rsidRDefault="00D908A3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A0B" w14:textId="77777777" w:rsidR="00041405" w:rsidRDefault="00D908A3">
    <w:pPr>
      <w:spacing w:after="0"/>
    </w:pPr>
    <w:r>
      <w:t xml:space="preserve"> </w:t>
    </w:r>
  </w:p>
  <w:p w14:paraId="4046C786" w14:textId="77777777" w:rsidR="00041405" w:rsidRDefault="00D908A3">
    <w:pPr>
      <w:spacing w:after="0"/>
    </w:pPr>
    <w:r>
      <w:t xml:space="preserve">This information is confidential and not to be shared.                                         Updated              7/25/2019 </w:t>
    </w:r>
  </w:p>
  <w:p w14:paraId="76613F83" w14:textId="77777777" w:rsidR="00041405" w:rsidRDefault="00D908A3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FBFB" w14:textId="77777777" w:rsidR="00D908A3" w:rsidRDefault="00D908A3">
      <w:pPr>
        <w:spacing w:after="0" w:line="240" w:lineRule="auto"/>
      </w:pPr>
      <w:r>
        <w:separator/>
      </w:r>
    </w:p>
  </w:footnote>
  <w:footnote w:type="continuationSeparator" w:id="0">
    <w:p w14:paraId="035A2F2F" w14:textId="77777777" w:rsidR="00D908A3" w:rsidRDefault="00D9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6808"/>
    <w:multiLevelType w:val="hybridMultilevel"/>
    <w:tmpl w:val="8EAA842C"/>
    <w:lvl w:ilvl="0" w:tplc="35902F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C9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CB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490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67A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8E0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CFF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286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68F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05"/>
    <w:rsid w:val="00041405"/>
    <w:rsid w:val="008326C0"/>
    <w:rsid w:val="00D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E895"/>
  <w15:docId w15:val="{0EE1E864-3785-4A5C-8FB1-668FF1C5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martin</cp:lastModifiedBy>
  <cp:revision>2</cp:revision>
  <dcterms:created xsi:type="dcterms:W3CDTF">2019-10-01T19:09:00Z</dcterms:created>
  <dcterms:modified xsi:type="dcterms:W3CDTF">2019-10-01T19:09:00Z</dcterms:modified>
</cp:coreProperties>
</file>